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RISK-SYS-01 — Risk Management System Establishment</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9(1): Risk management system shall be established and maintained; Article 9(2): Continuous iterative process throughout lifecycle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GOVERN.1.4: Establish AI risk management process through transparent policies; GOVERN.1.5: Plan ongoing monitoring and periodic review</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6.1.1: Determine risks and opportunities; Clause 6.1.2: Define AI risk assessment process; Clause 6.1.3: Define AI risk treatment process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implement, document, and maintain a comprehensive AI risk management system that operates as a continuous iterative process throughout the entire AI system lifecycle, integrated with the organization's enterprise risk management framework.</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Risk Management Policy</w:t>
      </w:r>
    </w:p>
    <w:p>
      <w:pPr>
        <w:spacing w:after="60" w:line="270"/>
      </w:pPr>
      <w:r>
        <w:rPr>
          <w:rFonts w:ascii="Arial" w:cs="Arial" w:eastAsia="Arial" w:hAnsi="Arial"/>
          <w:sz w:val="17"/>
          <w:szCs w:val="17"/>
        </w:rPr>
        <w:t xml:space="preserve">This section addresses: Risk Management Policy establishing scope, principles, roles, responsibilities, and compliance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and Scope: Define why this document exists and what it covers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Principles and Requirements: State the core principles, standards, and mandatory requirements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Roles and Responsibilities: Define who is responsible for what (use RACI if applicable)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Implementation Approach: Describe how these principles will be put into practice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Review and Update Process: Define how often this document is reviewed and what triggers an update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Risk Assessment Procedure</w:t>
      </w:r>
    </w:p>
    <w:p>
      <w:pPr>
        <w:spacing w:after="60" w:line="270"/>
      </w:pPr>
      <w:r>
        <w:rPr>
          <w:rFonts w:ascii="Arial" w:cs="Arial" w:eastAsia="Arial" w:hAnsi="Arial"/>
          <w:sz w:val="17"/>
          <w:szCs w:val="17"/>
        </w:rPr>
        <w:t xml:space="preserve">This section addresses: Risk Assessment Procedure detailing workflows, decision points, roles, and documentation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Risk Register</w:t>
      </w:r>
    </w:p>
    <w:p>
      <w:pPr>
        <w:spacing w:after="60" w:line="270"/>
      </w:pPr>
      <w:r>
        <w:rPr>
          <w:rFonts w:ascii="Arial" w:cs="Arial" w:eastAsia="Arial" w:hAnsi="Arial"/>
          <w:sz w:val="17"/>
          <w:szCs w:val="17"/>
        </w:rPr>
        <w:t xml:space="preserve">This section addresses: Risk Register capturing risk descriptions, likelihood/impact scores, owners, and mitigation status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Risk Treatment Plan</w:t>
      </w:r>
    </w:p>
    <w:p>
      <w:pPr>
        <w:spacing w:after="60" w:line="270"/>
      </w:pPr>
      <w:r>
        <w:rPr>
          <w:rFonts w:ascii="Arial" w:cs="Arial" w:eastAsia="Arial" w:hAnsi="Arial"/>
          <w:sz w:val="17"/>
          <w:szCs w:val="17"/>
        </w:rPr>
        <w:t xml:space="preserve">This section addresses: Risk Treatment Plan specifying control measures, responsible owners, timelines,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Monitoring Schedule</w:t>
      </w:r>
    </w:p>
    <w:p>
      <w:pPr>
        <w:spacing w:after="60" w:line="270"/>
      </w:pPr>
      <w:r>
        <w:rPr>
          <w:rFonts w:ascii="Arial" w:cs="Arial" w:eastAsia="Arial" w:hAnsi="Arial"/>
          <w:sz w:val="17"/>
          <w:szCs w:val="17"/>
        </w:rPr>
        <w:t xml:space="preserve">This section addresses: Monitoring Schedule with defined frequencies, responsible parties, and trigger conditions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Risk Management Policy</w:t>
      </w:r>
    </w:p>
    <w:p>
      <w:pPr>
        <w:spacing w:after="40"/>
      </w:pPr>
      <w:r>
        <w:rPr>
          <w:rFonts w:ascii="Arial" w:cs="Arial" w:eastAsia="Arial" w:hAnsi="Arial"/>
          <w:sz w:val="17"/>
          <w:szCs w:val="17"/>
        </w:rPr>
        <w:t xml:space="preserve">☐  Risk Assessment Procedure</w:t>
      </w:r>
    </w:p>
    <w:p>
      <w:pPr>
        <w:spacing w:after="40"/>
      </w:pPr>
      <w:r>
        <w:rPr>
          <w:rFonts w:ascii="Arial" w:cs="Arial" w:eastAsia="Arial" w:hAnsi="Arial"/>
          <w:sz w:val="17"/>
          <w:szCs w:val="17"/>
        </w:rPr>
        <w:t xml:space="preserve">☐  Risk Register</w:t>
      </w:r>
    </w:p>
    <w:p>
      <w:pPr>
        <w:spacing w:after="40"/>
      </w:pPr>
      <w:r>
        <w:rPr>
          <w:rFonts w:ascii="Arial" w:cs="Arial" w:eastAsia="Arial" w:hAnsi="Arial"/>
          <w:sz w:val="17"/>
          <w:szCs w:val="17"/>
        </w:rPr>
        <w:t xml:space="preserve">☐  Risk Treatment Plan</w:t>
      </w:r>
    </w:p>
    <w:p>
      <w:pPr>
        <w:spacing w:after="40"/>
      </w:pPr>
      <w:r>
        <w:rPr>
          <w:rFonts w:ascii="Arial" w:cs="Arial" w:eastAsia="Arial" w:hAnsi="Arial"/>
          <w:sz w:val="17"/>
          <w:szCs w:val="17"/>
        </w:rPr>
        <w:t xml:space="preserve">☐  Monitoring Schedule</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GOV-INV-02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Classification by Risk Level</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GOV-RISK-01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Risk Tolerance and Appetite Definition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RISK-SYS-01: Risk Management System Establishment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2026-05-29T01:37:57.103Z</dcterms:created>
  <dcterms:modified xsi:type="dcterms:W3CDTF">2026-05-29T01:37:57.103Z</dcterms:modified>
</cp:coreProperties>
</file>

<file path=docProps/custom.xml><?xml version="1.0" encoding="utf-8"?>
<Properties xmlns="http://schemas.openxmlformats.org/officeDocument/2006/custom-properties" xmlns:vt="http://schemas.openxmlformats.org/officeDocument/2006/docPropsVTypes"/>
</file>