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TRANS-REP-01 — External Reporting to Authorities</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16(k): Providers shall demonstrate conformity of the high-risk AI system upon reasoned request from a national competent authority; Article 17(1)(j): Quality management system shall include handling of communication with national competent authorities, notified bodies, and other relevant entities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transparency and explainability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A.8.5: Determine and document obligations to reporting information to interested parties including regulatory authorities with established communication procedures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formal procedures for communicating with national competent authorities, market surveillance authorities, and notified bodies, including the ability to demonstrate AI system conformity upon reasoned request, provide required information within mandated timeframes, maintain designated authority contact points, and ensure all regulatory communications are documented, approved, and traceable.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Authority Communication Procedure</w:t>
      </w:r>
    </w:p>
    <w:p>
      <w:pPr>
        <w:spacing w:after="60" w:line="270"/>
      </w:pPr>
      <w:r>
        <w:rPr>
          <w:rFonts w:ascii="Arial" w:cs="Arial" w:eastAsia="Arial" w:hAnsi="Arial"/>
          <w:sz w:val="17"/>
          <w:szCs w:val="17"/>
        </w:rPr>
        <w:t xml:space="preserve">This section addresses: Authority Communication Procedure defining the end-to-end process for receiving, triaging, responding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Information Disclosure Log</w:t>
      </w:r>
    </w:p>
    <w:p>
      <w:pPr>
        <w:spacing w:after="60" w:line="270"/>
      </w:pPr>
      <w:r>
        <w:rPr>
          <w:rFonts w:ascii="Arial" w:cs="Arial" w:eastAsia="Arial" w:hAnsi="Arial"/>
          <w:sz w:val="17"/>
          <w:szCs w:val="17"/>
        </w:rPr>
        <w:t xml:space="preserve">This section addresses: Information Disclosure Log providing auditable record of all information shared with regulatory authorities including request date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Regulatory Request Response Template</w:t>
      </w:r>
    </w:p>
    <w:p>
      <w:pPr>
        <w:spacing w:after="60" w:line="270"/>
      </w:pPr>
      <w:r>
        <w:rPr>
          <w:rFonts w:ascii="Arial" w:cs="Arial" w:eastAsia="Arial" w:hAnsi="Arial"/>
          <w:sz w:val="17"/>
          <w:szCs w:val="17"/>
        </w:rPr>
        <w:t xml:space="preserve">This section addresses: Regulatory Request Response Template providing pre-approved response frameworks for common authority request types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Compliance Demonstration Package</w:t>
      </w:r>
    </w:p>
    <w:p>
      <w:pPr>
        <w:spacing w:after="60" w:line="270"/>
      </w:pPr>
      <w:r>
        <w:rPr>
          <w:rFonts w:ascii="Arial" w:cs="Arial" w:eastAsia="Arial" w:hAnsi="Arial"/>
          <w:sz w:val="17"/>
          <w:szCs w:val="17"/>
        </w:rPr>
        <w:t xml:space="preserve">This section addresses: Compliance Demonstration Package maintaining a continuously current portfolio of conformity evidence ready for authority inspection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Authority Contact Registry</w:t>
      </w:r>
    </w:p>
    <w:p>
      <w:pPr>
        <w:spacing w:after="60" w:line="270"/>
      </w:pPr>
      <w:r>
        <w:rPr>
          <w:rFonts w:ascii="Arial" w:cs="Arial" w:eastAsia="Arial" w:hAnsi="Arial"/>
          <w:sz w:val="17"/>
          <w:szCs w:val="17"/>
        </w:rPr>
        <w:t xml:space="preserve">This section addresses: Authority Contact Registry maintaining current contact information for all relevant regulatory authorities across operating jurisdictions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Authority Communication Procedure</w:t>
      </w:r>
    </w:p>
    <w:p>
      <w:pPr>
        <w:spacing w:after="40"/>
      </w:pPr>
      <w:r>
        <w:rPr>
          <w:rFonts w:ascii="Arial" w:cs="Arial" w:eastAsia="Arial" w:hAnsi="Arial"/>
          <w:sz w:val="17"/>
          <w:szCs w:val="17"/>
        </w:rPr>
        <w:t xml:space="preserve">☐  Information Disclosure Log</w:t>
      </w:r>
    </w:p>
    <w:p>
      <w:pPr>
        <w:spacing w:after="40"/>
      </w:pPr>
      <w:r>
        <w:rPr>
          <w:rFonts w:ascii="Arial" w:cs="Arial" w:eastAsia="Arial" w:hAnsi="Arial"/>
          <w:sz w:val="17"/>
          <w:szCs w:val="17"/>
        </w:rPr>
        <w:t xml:space="preserve">☐  Regulatory Request Response Template</w:t>
      </w:r>
    </w:p>
    <w:p>
      <w:pPr>
        <w:spacing w:after="40"/>
      </w:pPr>
      <w:r>
        <w:rPr>
          <w:rFonts w:ascii="Arial" w:cs="Arial" w:eastAsia="Arial" w:hAnsi="Arial"/>
          <w:sz w:val="17"/>
          <w:szCs w:val="17"/>
        </w:rPr>
        <w:t xml:space="preserve">☐  Compliance Demonstration Package</w:t>
      </w:r>
    </w:p>
    <w:p>
      <w:pPr>
        <w:spacing w:after="40"/>
      </w:pPr>
      <w:r>
        <w:rPr>
          <w:rFonts w:ascii="Arial" w:cs="Arial" w:eastAsia="Arial" w:hAnsi="Arial"/>
          <w:sz w:val="17"/>
          <w:szCs w:val="17"/>
        </w:rPr>
        <w:t xml:space="preserve">☐  Authority Contact Registry</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TRANS-REP-01: External Reporting to Authorities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2026-05-29T01:38:01.735Z</dcterms:created>
  <dcterms:modified xsi:type="dcterms:W3CDTF">2026-05-29T01:38:01.735Z</dcterms:modified>
</cp:coreProperties>
</file>

<file path=docProps/custom.xml><?xml version="1.0" encoding="utf-8"?>
<Properties xmlns="http://schemas.openxmlformats.org/officeDocument/2006/custom-properties" xmlns:vt="http://schemas.openxmlformats.org/officeDocument/2006/docPropsVTypes"/>
</file>