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VER-MODEL-01 — Model Validation and Interpretation</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13(3)(d): Technical documentation shall include description of system capabilities and limitations including accuracy, robustness, and cybersecurity measures and known or foreseeable circumstances affecting performance; Article 14(4)(c): Human oversight measures shall enable individuals to correctly interpret the high-risk AI system output, taking into account the characteristics of the system and the interpretation tools and methods available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MEASURE.2.9: Explain, validate, and document the AI model and its output; interpret AI system output within its intended deployment context with appropriate uncertainty characterization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A.6.2.6: Define verification and validation measures including model validation criteria, testing procedures, and acceptance thresholds; Clause A.8.2: Define technical requirements and limitations including accuracy metrics, performance boundaries, and operational constraints for documentation and communication</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comprehensive model validation, explanation, and output interpretation processes for all AI systems including documented model validation reports, model explanation documentation, output interpretation guides, model cards with limitations, and stakeholder-appropriate explanation artifacts to ensure AI models are validated, explainable, and their outputs are correctly interpreted within operational context.</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Model Validation Report</w:t>
      </w:r>
    </w:p>
    <w:p>
      <w:pPr>
        <w:spacing w:after="60" w:line="270"/>
      </w:pPr>
      <w:r>
        <w:rPr>
          <w:rFonts w:ascii="Arial" w:cs="Arial" w:eastAsia="Arial" w:hAnsi="Arial"/>
          <w:sz w:val="17"/>
          <w:szCs w:val="17"/>
        </w:rPr>
        <w:t xml:space="preserve">This section addresses: Model Validation Report documenting comprehensive validation results including functional correctness testing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Model Explanation Documentation</w:t>
      </w:r>
    </w:p>
    <w:p>
      <w:pPr>
        <w:spacing w:after="60" w:line="270"/>
      </w:pPr>
      <w:r>
        <w:rPr>
          <w:rFonts w:ascii="Arial" w:cs="Arial" w:eastAsia="Arial" w:hAnsi="Arial"/>
          <w:sz w:val="17"/>
          <w:szCs w:val="17"/>
        </w:rPr>
        <w:t xml:space="preserve">This section addresses: Model Explanation Documentation providing technical and non-technical explanations of model architecture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Output Interpretation Guide</w:t>
      </w:r>
    </w:p>
    <w:p>
      <w:pPr>
        <w:spacing w:after="60" w:line="270"/>
      </w:pPr>
      <w:r>
        <w:rPr>
          <w:rFonts w:ascii="Arial" w:cs="Arial" w:eastAsia="Arial" w:hAnsi="Arial"/>
          <w:sz w:val="17"/>
          <w:szCs w:val="17"/>
        </w:rPr>
        <w:t xml:space="preserve">This section addresses: Output Interpretation Guide defining how to correctly interpret model outputs including confidence score calibration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Model Card</w:t>
      </w:r>
    </w:p>
    <w:p>
      <w:pPr>
        <w:spacing w:after="60" w:line="270"/>
      </w:pPr>
      <w:r>
        <w:rPr>
          <w:rFonts w:ascii="Arial" w:cs="Arial" w:eastAsia="Arial" w:hAnsi="Arial"/>
          <w:sz w:val="17"/>
          <w:szCs w:val="17"/>
        </w:rPr>
        <w:t xml:space="preserve">This section addresses: Model Card with Limitations following Model Cards for Model Reporting (Mitchell et al.) format documenting intended use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Stakeholder-Appropriate Explanation Artifacts</w:t>
      </w:r>
    </w:p>
    <w:p>
      <w:pPr>
        <w:spacing w:after="60" w:line="270"/>
      </w:pPr>
      <w:r>
        <w:rPr>
          <w:rFonts w:ascii="Arial" w:cs="Arial" w:eastAsia="Arial" w:hAnsi="Arial"/>
          <w:sz w:val="17"/>
          <w:szCs w:val="17"/>
        </w:rPr>
        <w:t xml:space="preserve">This section addresses: Stakeholder-Appropriate Explanation Artifacts providing tailored explanations for distinct audiences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Model Validation Report</w:t>
      </w:r>
    </w:p>
    <w:p>
      <w:pPr>
        <w:spacing w:after="40"/>
      </w:pPr>
      <w:r>
        <w:rPr>
          <w:rFonts w:ascii="Arial" w:cs="Arial" w:eastAsia="Arial" w:hAnsi="Arial"/>
          <w:sz w:val="17"/>
          <w:szCs w:val="17"/>
        </w:rPr>
        <w:t xml:space="preserve">☐  Model Explanation Documentation</w:t>
      </w:r>
    </w:p>
    <w:p>
      <w:pPr>
        <w:spacing w:after="40"/>
      </w:pPr>
      <w:r>
        <w:rPr>
          <w:rFonts w:ascii="Arial" w:cs="Arial" w:eastAsia="Arial" w:hAnsi="Arial"/>
          <w:sz w:val="17"/>
          <w:szCs w:val="17"/>
        </w:rPr>
        <w:t xml:space="preserve">☐  Output Interpretation Guide</w:t>
      </w:r>
    </w:p>
    <w:p>
      <w:pPr>
        <w:spacing w:after="40"/>
      </w:pPr>
      <w:r>
        <w:rPr>
          <w:rFonts w:ascii="Arial" w:cs="Arial" w:eastAsia="Arial" w:hAnsi="Arial"/>
          <w:sz w:val="17"/>
          <w:szCs w:val="17"/>
        </w:rPr>
        <w:t xml:space="preserve">☐  Model Card with Limitations</w:t>
      </w:r>
    </w:p>
    <w:p>
      <w:pPr>
        <w:spacing w:after="40"/>
      </w:pPr>
      <w:r>
        <w:rPr>
          <w:rFonts w:ascii="Arial" w:cs="Arial" w:eastAsia="Arial" w:hAnsi="Arial"/>
          <w:sz w:val="17"/>
          <w:szCs w:val="17"/>
        </w:rPr>
        <w:t xml:space="preserve">☐  Stakeholder-Appropriate Explanation Artifacts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TRANS-DOC-01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Instructions for Use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TRANS-PERF-01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Performance and Accuracy Disclosure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VER-MODEL-01: Model Validation and Interpretation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2026-05-29T01:37:59.493Z</dcterms:created>
  <dcterms:modified xsi:type="dcterms:W3CDTF">2026-05-29T01:37:59.493Z</dcterms:modified>
</cp:coreProperties>
</file>

<file path=docProps/custom.xml><?xml version="1.0" encoding="utf-8"?>
<Properties xmlns="http://schemas.openxmlformats.org/officeDocument/2006/custom-properties" xmlns:vt="http://schemas.openxmlformats.org/officeDocument/2006/docPropsVTypes"/>
</file>