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VER-TEVV-01 — Test, Evaluation, Verification and Validation Framework</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9(6): High-risk AI systems shall be tested for purposes of identifying appropriate and targeted risk management measures; Article 9(8): Testing shall be performed throughout development and prior to market placement; Annex IV(2)(g): Validation and testing procedures including information on test data and test methodology</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MEASURE.2.1: Document test sets, metrics, and details about tools used in testing; MEASURE.2.13: Evaluate effectiveness of employed TEVV metrics and processes and document results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A.6.2.6: Define verification and validation measures for AI system development; Clause 9.1: Determine methods for monitoring, measurement, analysis, and evaluation</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 comprehensive Test, Evaluation, Verification, and Validation (TEVV) framework for AI systems including documented TEVV framework specifications, test strategies with defined scope and coverage, metric selection rationale with statistical justification, tool qualification records, and TEVV process effectiveness reviews to ensure systematic quality assurance throughout the AI lifecycle.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TEVV Framework Document</w:t>
      </w:r>
    </w:p>
    <w:p>
      <w:pPr>
        <w:spacing w:after="60" w:line="270"/>
      </w:pPr>
      <w:r>
        <w:rPr>
          <w:rFonts w:ascii="Arial" w:cs="Arial" w:eastAsia="Arial" w:hAnsi="Arial"/>
          <w:sz w:val="17"/>
          <w:szCs w:val="17"/>
        </w:rPr>
        <w:t xml:space="preserve">This section addresses: TEVV Framework Document establishing organizational TEVV methodology including testing taxonomy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Test Strategy</w:t>
      </w:r>
    </w:p>
    <w:p>
      <w:pPr>
        <w:spacing w:after="60" w:line="270"/>
      </w:pPr>
      <w:r>
        <w:rPr>
          <w:rFonts w:ascii="Arial" w:cs="Arial" w:eastAsia="Arial" w:hAnsi="Arial"/>
          <w:sz w:val="17"/>
          <w:szCs w:val="17"/>
        </w:rPr>
        <w:t xml:space="preserve">This section addresses: Test Strategy defining test scope, coverage requirements, test environment specifications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Metric Selection Rationale</w:t>
      </w:r>
    </w:p>
    <w:p>
      <w:pPr>
        <w:spacing w:after="60" w:line="270"/>
      </w:pPr>
      <w:r>
        <w:rPr>
          <w:rFonts w:ascii="Arial" w:cs="Arial" w:eastAsia="Arial" w:hAnsi="Arial"/>
          <w:sz w:val="17"/>
          <w:szCs w:val="17"/>
        </w:rPr>
        <w:t xml:space="preserve">This section addresses: Metric Selection Rationale documenting justification for each TEVV metric selected including statistical properties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Tool Qualification Records</w:t>
      </w:r>
    </w:p>
    <w:p>
      <w:pPr>
        <w:spacing w:after="60" w:line="270"/>
      </w:pPr>
      <w:r>
        <w:rPr>
          <w:rFonts w:ascii="Arial" w:cs="Arial" w:eastAsia="Arial" w:hAnsi="Arial"/>
          <w:sz w:val="17"/>
          <w:szCs w:val="17"/>
        </w:rPr>
        <w:t xml:space="preserve">This section addresses: Tool Qualification Records documenting qualification evidence for all TEVV tools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TEVV Process Effectiveness Review</w:t>
      </w:r>
    </w:p>
    <w:p>
      <w:pPr>
        <w:spacing w:after="60" w:line="270"/>
      </w:pPr>
      <w:r>
        <w:rPr>
          <w:rFonts w:ascii="Arial" w:cs="Arial" w:eastAsia="Arial" w:hAnsi="Arial"/>
          <w:sz w:val="17"/>
          <w:szCs w:val="17"/>
        </w:rPr>
        <w:t xml:space="preserve">This section addresses: TEVV Process Effectiveness Review evaluating overall TEVV process performance including defect detection rates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TEVV Framework Document</w:t>
      </w:r>
    </w:p>
    <w:p>
      <w:pPr>
        <w:spacing w:after="40"/>
      </w:pPr>
      <w:r>
        <w:rPr>
          <w:rFonts w:ascii="Arial" w:cs="Arial" w:eastAsia="Arial" w:hAnsi="Arial"/>
          <w:sz w:val="17"/>
          <w:szCs w:val="17"/>
        </w:rPr>
        <w:t xml:space="preserve">☐  Test Strategy</w:t>
      </w:r>
    </w:p>
    <w:p>
      <w:pPr>
        <w:spacing w:after="40"/>
      </w:pPr>
      <w:r>
        <w:rPr>
          <w:rFonts w:ascii="Arial" w:cs="Arial" w:eastAsia="Arial" w:hAnsi="Arial"/>
          <w:sz w:val="17"/>
          <w:szCs w:val="17"/>
        </w:rPr>
        <w:t xml:space="preserve">☐  Metric Selection Rationale</w:t>
      </w:r>
    </w:p>
    <w:p>
      <w:pPr>
        <w:spacing w:after="40"/>
      </w:pPr>
      <w:r>
        <w:rPr>
          <w:rFonts w:ascii="Arial" w:cs="Arial" w:eastAsia="Arial" w:hAnsi="Arial"/>
          <w:sz w:val="17"/>
          <w:szCs w:val="17"/>
        </w:rPr>
        <w:t xml:space="preserve">☐  Tool Qualification Records</w:t>
      </w:r>
    </w:p>
    <w:p>
      <w:pPr>
        <w:spacing w:after="40"/>
      </w:pPr>
      <w:r>
        <w:rPr>
          <w:rFonts w:ascii="Arial" w:cs="Arial" w:eastAsia="Arial" w:hAnsi="Arial"/>
          <w:sz w:val="17"/>
          <w:szCs w:val="17"/>
        </w:rPr>
        <w:t xml:space="preserve">☐  TEVV Process Effectiveness Review</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Production and Post-Market Monitoring System</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DEV-DEPLOY-01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Deployment Planning and Readiness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VER-TEVV-01: Test, Evaluation, Verification and Validation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2026-05-29T01:38:00.090Z</dcterms:created>
  <dcterms:modified xsi:type="dcterms:W3CDTF">2026-05-29T01:38:00.090Z</dcterms:modified>
</cp:coreProperties>
</file>

<file path=docProps/custom.xml><?xml version="1.0" encoding="utf-8"?>
<Properties xmlns="http://schemas.openxmlformats.org/officeDocument/2006/custom-properties" xmlns:vt="http://schemas.openxmlformats.org/officeDocument/2006/docPropsVTypes"/>
</file>