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DATA-PRIV-01 — Personal Data Protection for AI</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10(5)(b),(c): Processing of special categories for bias detection; Article 26(8)-(10): Deployer data protection obligations; Recital 10: GDPR fully applies to personal data processed in connection with AI systems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MEASURE.2.10: Examine and document privacy risk of the AI system including data processing impacts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A.7.3: Consider privacy and security implications of data used in AI systems including PII protections; Clause A.4.3: Where privacy is to be preserved, consider ISO/IEC 27701 controls for privacy information management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comprehensive privacy protections for personal data used in AI systems, including privacy impact assessments, data minimization analysis, pseudonymization implementation, privacy control matrices, and re-identification risk assessments to ensure state-of-the-art data protection throughout the AI lifecycle.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 Privacy Impact Assessment for AI</w:t>
      </w:r>
    </w:p>
    <w:p>
      <w:pPr>
        <w:spacing w:after="60" w:line="270"/>
      </w:pPr>
      <w:r>
        <w:rPr>
          <w:rFonts w:ascii="Arial" w:cs="Arial" w:eastAsia="Arial" w:hAnsi="Arial"/>
          <w:sz w:val="17"/>
          <w:szCs w:val="17"/>
        </w:rPr>
        <w:t xml:space="preserve">This section addresses: Privacy Impact Assessment for AI documenting privacy risks specific to AI processing including automated decision-making, profiling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Data Minimization Assessment</w:t>
      </w:r>
    </w:p>
    <w:p>
      <w:pPr>
        <w:spacing w:after="60" w:line="270"/>
      </w:pPr>
      <w:r>
        <w:rPr>
          <w:rFonts w:ascii="Arial" w:cs="Arial" w:eastAsia="Arial" w:hAnsi="Arial"/>
          <w:sz w:val="17"/>
          <w:szCs w:val="17"/>
        </w:rPr>
        <w:t xml:space="preserve">This section addresses: Data Minimization Assessment demonstrating that personal data collected and processed is limited to what is strictly necessary for the AI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Pseudonymization Implementation Record</w:t>
      </w:r>
    </w:p>
    <w:p>
      <w:pPr>
        <w:spacing w:after="60" w:line="270"/>
      </w:pPr>
      <w:r>
        <w:rPr>
          <w:rFonts w:ascii="Arial" w:cs="Arial" w:eastAsia="Arial" w:hAnsi="Arial"/>
          <w:sz w:val="17"/>
          <w:szCs w:val="17"/>
        </w:rPr>
        <w:t xml:space="preserve">This section addresses: Pseudonymization Implementation Record documenting pseudonymization methods applied, key management procedures, and effectiveness validation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Privacy Control Matrix</w:t>
      </w:r>
    </w:p>
    <w:p>
      <w:pPr>
        <w:spacing w:after="60" w:line="270"/>
      </w:pPr>
      <w:r>
        <w:rPr>
          <w:rFonts w:ascii="Arial" w:cs="Arial" w:eastAsia="Arial" w:hAnsi="Arial"/>
          <w:sz w:val="17"/>
          <w:szCs w:val="17"/>
        </w:rPr>
        <w:t xml:space="preserve">This section addresses: Privacy Control Matrix mapping privacy requirements to implemented technical and organizational controls across the AI data lifecycle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Re-identification Risk Assessment</w:t>
      </w:r>
    </w:p>
    <w:p>
      <w:pPr>
        <w:spacing w:after="60" w:line="270"/>
      </w:pPr>
      <w:r>
        <w:rPr>
          <w:rFonts w:ascii="Arial" w:cs="Arial" w:eastAsia="Arial" w:hAnsi="Arial"/>
          <w:sz w:val="17"/>
          <w:szCs w:val="17"/>
        </w:rPr>
        <w:t xml:space="preserve">This section addresses: Re-identification Risk Assessment evaluating residual re-identification risk after anonymization or pseudonymization using state-of-the-art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Privacy Impact Assessment for AI</w:t>
      </w:r>
    </w:p>
    <w:p>
      <w:pPr>
        <w:spacing w:after="40"/>
      </w:pPr>
      <w:r>
        <w:rPr>
          <w:rFonts w:ascii="Arial" w:cs="Arial" w:eastAsia="Arial" w:hAnsi="Arial"/>
          <w:sz w:val="17"/>
          <w:szCs w:val="17"/>
        </w:rPr>
        <w:t xml:space="preserve">☐  Data Minimization Assessment</w:t>
      </w:r>
    </w:p>
    <w:p>
      <w:pPr>
        <w:spacing w:after="40"/>
      </w:pPr>
      <w:r>
        <w:rPr>
          <w:rFonts w:ascii="Arial" w:cs="Arial" w:eastAsia="Arial" w:hAnsi="Arial"/>
          <w:sz w:val="17"/>
          <w:szCs w:val="17"/>
        </w:rPr>
        <w:t xml:space="preserve">☐  Pseudonymization Implementation Record</w:t>
      </w:r>
    </w:p>
    <w:p>
      <w:pPr>
        <w:spacing w:after="40"/>
      </w:pPr>
      <w:r>
        <w:rPr>
          <w:rFonts w:ascii="Arial" w:cs="Arial" w:eastAsia="Arial" w:hAnsi="Arial"/>
          <w:sz w:val="17"/>
          <w:szCs w:val="17"/>
        </w:rPr>
        <w:t xml:space="preserve">☐  Privacy Control Matrix</w:t>
      </w:r>
    </w:p>
    <w:p>
      <w:pPr>
        <w:spacing w:after="40"/>
      </w:pPr>
      <w:r>
        <w:rPr>
          <w:rFonts w:ascii="Arial" w:cs="Arial" w:eastAsia="Arial" w:hAnsi="Arial"/>
          <w:sz w:val="17"/>
          <w:szCs w:val="17"/>
        </w:rPr>
        <w:t xml:space="preserve">☐  Re-identification Risk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DATA-TRAIN-01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Training Data Set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DATA-PRIV-01: Personal Data Protection for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2026-05-29T01:37:58.502Z</dcterms:created>
  <dcterms:modified xsi:type="dcterms:W3CDTF">2026-05-29T01:37:58.502Z</dcterms:modified>
</cp:coreProperties>
</file>

<file path=docProps/custom.xml><?xml version="1.0" encoding="utf-8"?>
<Properties xmlns="http://schemas.openxmlformats.org/officeDocument/2006/custom-properties" xmlns:vt="http://schemas.openxmlformats.org/officeDocument/2006/docPropsVTypes"/>
</file>