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MATUR.ai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CRC Compliance Template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FAIR-EO-01 — Equal Opportunity and Equalized Odds Testing</w:t>
      </w:r>
    </w:p>
    <w:p>
      <w:pPr>
        <w:spacing w:after="1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Category: AI Fairness &amp; Non-Discrimination  |  Priority: High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Applicable Requirements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EU AI Act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Article 10(2)(f): Examination for possible biases that are likely to lead to discrimination prohibited by Union law; Annex IV(2)(g): Description of potentially discriminatory impacts of the high-risk AI system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NIST AI RMF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MEASURE.2.11: Assess equalized odds and test for discriminatory outcomes across demographic groups with documented analysis of error rate differences</w:t>
            </w:r>
          </w:p>
        </w:tc>
      </w:tr>
      <w:tr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ISO/IEC 42001</w:t>
            </w:r>
          </w:p>
        </w:tc>
        <w:tc>
          <w:tcPr>
            <w:tcW w:type="dxa" w:w="7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A.5.4: Assess potential impacts to individuals or groups including fairness through systematic analysis of outcome disparities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Control Requirement</w:t>
      </w:r>
    </w:p>
    <w:p>
      <w:pPr>
        <w:spacing w:after="60" w:line="270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The organization SHALL conduct equal opportunity and equalized odds testing for each high-risk AI system, measuring whether true positive rates, false positive rates, and false negative rates are equalized across protected groups, performing threshold optimization analysis to identify configurations that improve fairness-performance trade-offs, and documenting odds ratio analysis to quantify discriminatory outcome patterns.</w:t>
      </w:r>
    </w:p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Change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Changed By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Approved By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1.0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Initial version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[2.0]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  <w:tr>
        <w:tc>
          <w:tcPr>
            <w:tcW w:type="dxa" w:w="1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[3.0]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3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changes]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Document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Organization Name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[Your organization name]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Document Owner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title]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[e.g., 1.0]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Date Created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Effective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Last Reviewed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60"/>
      </w:pPr>
    </w:p>
    <w:p>
      <w:pPr>
        <w:spacing w:after="4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Signature / Confirmation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Comments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[Preparer]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[Reviewer]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  <w:tr>
        <w:tc>
          <w:tcPr>
            <w:tcW w:type="dxa" w:w="16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[Approver]</w:t>
            </w:r>
          </w:p>
        </w:tc>
        <w:tc>
          <w:tcPr>
            <w:tcW w:type="dxa" w:w="18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[Name]</w:t>
            </w:r>
          </w:p>
        </w:tc>
        <w:tc>
          <w:tcPr>
            <w:tcW w:type="dxa" w:w="1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[Sign]</w:t>
            </w:r>
          </w:p>
        </w:tc>
        <w:tc>
          <w:tcPr>
            <w:tcW w:type="dxa" w:w="25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[Comments]</w:t>
            </w:r>
          </w:p>
        </w:tc>
      </w:tr>
    </w:tbl>
    <w:p>
      <w:pPr>
        <w:spacing w:after="40"/>
      </w:pPr>
    </w:p>
    <w:p>
      <w:pPr>
        <w:spacing w:after="60" w:line="270"/>
      </w:pPr>
      <w:r>
        <w:rPr>
          <w:rFonts w:ascii="Arial" w:cs="Arial" w:eastAsia="Arial" w:hAnsi="Arial"/>
          <w:i/>
          <w:iCs/>
          <w:color w:val="888888"/>
          <w:sz w:val="15"/>
          <w:szCs w:val="15"/>
        </w:rPr>
        <w:t xml:space="preserve">This document must be reviewed by the Next Review Date listed above. If not reviewed and re-approved by that date, this artifact is considered expired and the associated control should be re-evaluated for compliance status.</w:t>
      </w:r>
    </w:p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Data and Model Lineage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Complete this section to document the data sources, model versions, and processing pipeline for traceability and reproducibility.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Source(s)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 and location of source data]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Dataset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[Version identifier and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Model Name / Version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[Model identifier, version, and training date]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Pipeline Reference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[CI/CD pipeline or workflow identifier]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Upstream Dependencies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any upstream models, datasets, or APIs this depends 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Processing Steps Applied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transformations, cleaning, augmentation applied]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Lineage Verified By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verification]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1: Equalized Odds Assessment Report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Equalized Odds Assessment Report documenting the degree to which true positive rates and false positive rates are equal across protected groups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2: True Positive Rate Comparison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True Positive Rate Comparison providing detailed analysis of whether the AI system correctly identifies positive cases at equal rates across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3: False Positive Rate Comparison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False Positive Rate Comparison documenting whether the AI system incorrectly classifies negative cases as positive at different rates across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4: Threshold Optimization for Fairness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Threshold Optimization for Fairness documenting analysis of decision threshold adjustments that could improve fairness metrics without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Purpose: Describe the purpose of this document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Scope: Define what this covers and any boundaries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Content: Provide the required information, analysis, or documentation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Supporting Evidence: Reference any supporting data, files, or records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60"/>
              <w:left w:type="dxa" w:w="100"/>
              <w:bottom w:type="dxa" w:w="20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Owner and Review Date: Who maintains this and when it is next reviewed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[Enter details here]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pageBreakBefore/>
      </w:pPr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Section 5: Odds Ratio Analysis computing odds ratios for AI system outcomes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section addresses: Odds Ratio Analysis computing odds ratios for AI system outcomes across protected groups to quantify the relative likelihood of positive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Assessment Scope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[Define what is being assessed and boundaries]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the methods, tools, and criteria used]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Data Sources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[List data examined and their provenance]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Key Findings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[Document primary findings with supporting evidence]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 Level / Severity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[Critical / High / Medium / Low with justification]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Recommendations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[Specific recommended actions to address findings]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Assessor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[Name, role, and date of assessment]</w:t>
            </w:r>
          </w:p>
        </w:tc>
      </w:tr>
      <w:tr>
        <w:tc>
          <w:tcPr>
            <w:tcW w:type="dxa" w:w="24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Next Review Date</w:t>
            </w:r>
          </w:p>
        </w:tc>
        <w:tc>
          <w:tcPr>
            <w:tcW w:type="dxa" w:w="69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[DD/MM/YYYY]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dashed" w:color="FF8F00" w:sz="2"/>
              <w:left w:val="dashed" w:color="FF8F00" w:sz="2"/>
              <w:bottom w:val="dashed" w:color="FF8F00" w:sz="2"/>
              <w:right w:val="dashed" w:color="FF8F00" w:sz="2"/>
            </w:tcBorders>
            <w:shd w:fill="FFF8E1" w:val="clear"/>
            <w:tcMar>
              <w:top w:type="dxa" w:w="80"/>
              <w:left w:type="dxa" w:w="100"/>
              <w:bottom w:type="dxa" w:w="30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E65100"/>
                <w:sz w:val="16"/>
                <w:szCs w:val="16"/>
              </w:rPr>
              <w:t xml:space="preserve">📸 SCREENSHOT EVIDENCE</w:t>
            </w:r>
          </w:p>
          <w:p>
            <w:pPr>
              <w:spacing w:after="30" w:line="25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Capture screenshot of the relevant system, tool, or platform showing the implemented configuration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i/>
                <w:iCs/>
                <w:color w:val="999999"/>
                <w:sz w:val="15"/>
                <w:szCs w:val="15"/>
              </w:rPr>
              <w:t xml:space="preserve">[Insert screenshot here — include visible date/timestamp]</w:t>
            </w:r>
          </w:p>
        </w:tc>
      </w:tr>
    </w:tbl>
    <w:p>
      <w:pPr>
        <w:spacing w:after="10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Evidence Checklist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The following evidence items are required to demonstrate compliance with this control: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Equalized Odds Assessment Report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True Positive Rate Comparison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False Positive Rate Comparison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Threshold Optimization for Fairness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Odds Ratio Analysis</w:t>
      </w:r>
    </w:p>
    <w:p>
      <w:pPr>
        <w:spacing w:after="40"/>
      </w:pPr>
      <w:r>
        <w:rPr>
          <w:rFonts w:ascii="Arial" w:cs="Arial" w:eastAsia="Arial" w:hAnsi="Arial"/>
          <w:sz w:val="17"/>
          <w:szCs w:val="17"/>
        </w:rPr>
        <w:t xml:space="preserve">☐  Screenshot evidence inserted in relevant sections above (with visible date/timestamp)</w:t>
      </w:r>
    </w:p>
    <w:p>
      <w:pPr>
        <w:spacing w:after="6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Related CRC Controls</w:t>
      </w:r>
    </w:p>
    <w:p>
      <w:pPr>
        <w:spacing w:after="60" w:line="270"/>
      </w:pPr>
      <w:r>
        <w:rPr>
          <w:rFonts w:ascii="Arial" w:cs="Arial" w:eastAsia="Arial" w:hAnsi="Arial"/>
          <w:sz w:val="17"/>
          <w:szCs w:val="17"/>
        </w:rPr>
        <w:t xml:space="preserve">This control is related to the following controls. Review them together for a complete compliance picture: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ID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Control Title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Relationship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RISK-IMPACT-02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Individual and Group Impact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RISK-VULN-01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Vulnerable Population Risk Assessment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VER-HUMAN-01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Human Subject Testing Compliance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  <w:tr>
        <w:tc>
          <w:tcPr>
            <w:tcW w:type="dxa" w:w="2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E8EDF2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17"/>
                <w:szCs w:val="17"/>
              </w:rPr>
              <w:t xml:space="preserve">FAIR-METRIC-01</w:t>
            </w:r>
          </w:p>
        </w:tc>
        <w:tc>
          <w:tcPr>
            <w:tcW w:type="dxa" w:w="500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Fairness Metric Selection</w:t>
            </w:r>
          </w:p>
        </w:tc>
        <w:tc>
          <w:tcPr>
            <w:tcW w:type="dxa" w:w="2360"/>
            <w:tcBorders>
              <w:top w:val="single" w:color="1B3A5C" w:sz="2"/>
              <w:left w:val="single" w:color="1B3A5C" w:sz="2"/>
              <w:bottom w:val="single" w:color="1B3A5C" w:sz="2"/>
              <w:right w:val="single" w:color="1B3A5C" w:sz="2"/>
            </w:tcBorders>
            <w:shd w:fill="FFFDE7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70"/>
            </w:pPr>
            <w:r>
              <w:rPr>
                <w:rFonts w:ascii="Arial" w:cs="Arial" w:eastAsia="Arial" w:hAnsi="Arial"/>
                <w:i/>
                <w:iCs/>
                <w:color w:val="999999"/>
                <w:sz w:val="16"/>
                <w:szCs w:val="16"/>
              </w:rPr>
              <w:t xml:space="preserve">[Describe how they relate]</w:t>
            </w:r>
          </w:p>
        </w:tc>
      </w:tr>
    </w:tbl>
    <w:p>
      <w:pPr>
        <w:spacing w:after="80"/>
      </w:pPr>
    </w:p>
    <w:p>
      <w:pPr>
        <w:spacing w:after="20"/>
      </w:pPr>
      <w:r>
        <w:rPr>
          <w:rFonts w:ascii="Arial" w:cs="Arial" w:eastAsia="Arial" w:hAnsi="Arial"/>
          <w:i/>
          <w:iCs/>
          <w:color w:val="AAAAAA"/>
          <w:sz w:val="14"/>
          <w:szCs w:val="14"/>
        </w:rPr>
        <w:t xml:space="preserve">Generated by MATUR.ai  |  matur.ai  |  This template is provided as part of a MATUR.ai subscription. Redistribution is prohibited under the Terms of Service.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4"/>
        <w:szCs w:val="14"/>
      </w:rPr>
      <w:t xml:space="preserve">Page </w:t>
    </w:r>
    <w:r>
      <w:rPr>
        <w:rFonts w:ascii="Arial" w:cs="Arial" w:eastAsia="Arial" w:hAnsi="Arial"/>
        <w:color w:val="AAAAA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4"/>
        <w:szCs w:val="14"/>
      </w:rPr>
      <w:t xml:space="preserve">  |  Generated by MATUR.ai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AAAAAA"/>
        <w:sz w:val="14"/>
        <w:szCs w:val="14"/>
      </w:rPr>
      <w:t xml:space="preserve">MATUR.ai  |  FAIR-EO-01: Equal Opportunity and Equalized Odds Testing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2026-05-29T01:38:02.210Z</dcterms:created>
  <dcterms:modified xsi:type="dcterms:W3CDTF">2026-05-29T01:38:02.210Z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