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GOV-3P-01 — Third-Party AI Risk Management</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supply chain due diligence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GOVERN.6.1: Address AI risks from third-party entities; MAP.4.1: Map legal risks of third-party components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A.10.3: Establish process for supplier alignment; Clause A.10.2: Allocate responsibilities with third parties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assess, document, and manage AI-related risks arising from third-party entities including vendors, partners, and open-source components, with specific attention to intellectual property, data rights, and responsible AI alignment.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Third-Party Risk Assessment Template</w:t>
      </w:r>
    </w:p>
    <w:p>
      <w:pPr>
        <w:spacing w:after="60" w:line="270"/>
      </w:pPr>
      <w:r>
        <w:rPr>
          <w:rFonts w:ascii="Arial" w:cs="Arial" w:eastAsia="Arial" w:hAnsi="Arial"/>
          <w:sz w:val="17"/>
          <w:szCs w:val="17"/>
        </w:rPr>
        <w:t xml:space="preserve">This section addresses: Third-Party Risk Assessment Template defining evaluation criteria, risk scoring methodology, and approval workflow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Vendor AI Due Diligence Checklist</w:t>
      </w:r>
    </w:p>
    <w:p>
      <w:pPr>
        <w:spacing w:after="60" w:line="270"/>
      </w:pPr>
      <w:r>
        <w:rPr>
          <w:rFonts w:ascii="Arial" w:cs="Arial" w:eastAsia="Arial" w:hAnsi="Arial"/>
          <w:sz w:val="17"/>
          <w:szCs w:val="17"/>
        </w:rPr>
        <w:t xml:space="preserve">This section addresses: Vendor AI Due Diligence Checklist covering vendor capabilities, data practices, compliance posture, and risk factors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IP and Licensing Review</w:t>
      </w:r>
    </w:p>
    <w:p>
      <w:pPr>
        <w:spacing w:after="60" w:line="270"/>
      </w:pPr>
      <w:r>
        <w:rPr>
          <w:rFonts w:ascii="Arial" w:cs="Arial" w:eastAsia="Arial" w:hAnsi="Arial"/>
          <w:sz w:val="17"/>
          <w:szCs w:val="17"/>
        </w:rPr>
        <w:t xml:space="preserve">This section addresses: IP and Licensing Review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Vendor Risk Register</w:t>
      </w:r>
    </w:p>
    <w:p>
      <w:pPr>
        <w:spacing w:after="60" w:line="270"/>
      </w:pPr>
      <w:r>
        <w:rPr>
          <w:rFonts w:ascii="Arial" w:cs="Arial" w:eastAsia="Arial" w:hAnsi="Arial"/>
          <w:sz w:val="17"/>
          <w:szCs w:val="17"/>
        </w:rPr>
        <w:t xml:space="preserve">This section addresses: Vendor Risk Register capturing risk descriptions, likelihood/impact scores, owners, and mitigation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Third-Party Risk Assessment Template</w:t>
      </w:r>
    </w:p>
    <w:p>
      <w:pPr>
        <w:spacing w:after="40"/>
      </w:pPr>
      <w:r>
        <w:rPr>
          <w:rFonts w:ascii="Arial" w:cs="Arial" w:eastAsia="Arial" w:hAnsi="Arial"/>
          <w:sz w:val="17"/>
          <w:szCs w:val="17"/>
        </w:rPr>
        <w:t xml:space="preserve">☐  Vendor AI Due Diligence Checklist</w:t>
      </w:r>
    </w:p>
    <w:p>
      <w:pPr>
        <w:spacing w:after="40"/>
      </w:pPr>
      <w:r>
        <w:rPr>
          <w:rFonts w:ascii="Arial" w:cs="Arial" w:eastAsia="Arial" w:hAnsi="Arial"/>
          <w:sz w:val="17"/>
          <w:szCs w:val="17"/>
        </w:rPr>
        <w:t xml:space="preserve">☐  IP and Licensing Review</w:t>
      </w:r>
    </w:p>
    <w:p>
      <w:pPr>
        <w:spacing w:after="40"/>
      </w:pPr>
      <w:r>
        <w:rPr>
          <w:rFonts w:ascii="Arial" w:cs="Arial" w:eastAsia="Arial" w:hAnsi="Arial"/>
          <w:sz w:val="17"/>
          <w:szCs w:val="17"/>
        </w:rPr>
        <w:t xml:space="preserve">☐  Supplier Contract AI Provisions</w:t>
      </w:r>
    </w:p>
    <w:p>
      <w:pPr>
        <w:spacing w:after="40"/>
      </w:pPr>
      <w:r>
        <w:rPr>
          <w:rFonts w:ascii="Arial" w:cs="Arial" w:eastAsia="Arial" w:hAnsi="Arial"/>
          <w:sz w:val="17"/>
          <w:szCs w:val="17"/>
        </w:rPr>
        <w:t xml:space="preserve">☐  Vendor Risk Register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Contingency and Incident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Supplier AI Component Quality Assurance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Pre-trained Model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GOV-3P-01: Third-Party AI Risk Management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2026-05-29T01:37:54.042Z</dcterms:created>
  <dcterms:modified xsi:type="dcterms:W3CDTF">2026-05-29T01:37:54.056Z</dcterms:modified>
</cp:coreProperties>
</file>

<file path=docProps/custom.xml><?xml version="1.0" encoding="utf-8"?>
<Properties xmlns="http://schemas.openxmlformats.org/officeDocument/2006/custom-properties" xmlns:vt="http://schemas.openxmlformats.org/officeDocument/2006/docPropsVTypes"/>
</file>