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GOV-ACC-03 — Executive Leadership AI Oversight</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16(a): Providers ensure high-risk AI compliant; Article 16(f): Undergo conformity assessment; Article 17(1)(m): Accountability framework setting out responsibilities of management and other staff</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GOVERN.2.3: Executive takes responsibility for AI risk; MANAGE.1.1: Determine whether deployment should proceed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5.1: Top management demonstrate leadership; Clause 9.3.1: Review AIMS at planned intervals; Annex A.6.1: Top management shall provide guidance for the responsible design and development of AI systems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executive leadership actively oversees AI risk decisions, provides documented approval for high-risk AI deployments, and receives regular briefings on AI portfolio status and compliance posture.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Executive AI Risk Briefing quarterly</w:t>
      </w:r>
    </w:p>
    <w:p>
      <w:pPr>
        <w:spacing w:after="60" w:line="270"/>
      </w:pPr>
      <w:r>
        <w:rPr>
          <w:rFonts w:ascii="Arial" w:cs="Arial" w:eastAsia="Arial" w:hAnsi="Arial"/>
          <w:sz w:val="17"/>
          <w:szCs w:val="17"/>
        </w:rPr>
        <w:t xml:space="preserve">This section addresses: Executive AI Risk Briefing quarterly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Documented executive sign-off for high-risk AI</w:t>
      </w:r>
    </w:p>
    <w:p>
      <w:pPr>
        <w:spacing w:after="60" w:line="270"/>
      </w:pPr>
      <w:r>
        <w:rPr>
          <w:rFonts w:ascii="Arial" w:cs="Arial" w:eastAsia="Arial" w:hAnsi="Arial"/>
          <w:sz w:val="17"/>
          <w:szCs w:val="17"/>
        </w:rPr>
        <w:t xml:space="preserve">This section addresses: Documented executive sign-off for high-risk AI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Leadership Accountability Statement</w:t>
      </w:r>
    </w:p>
    <w:p>
      <w:pPr>
        <w:spacing w:after="60" w:line="270"/>
      </w:pPr>
      <w:r>
        <w:rPr>
          <w:rFonts w:ascii="Arial" w:cs="Arial" w:eastAsia="Arial" w:hAnsi="Arial"/>
          <w:sz w:val="17"/>
          <w:szCs w:val="17"/>
        </w:rPr>
        <w:t xml:space="preserve">This section addresses: Leadership Accountability Statement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Board-level AI reporting</w:t>
      </w:r>
    </w:p>
    <w:p>
      <w:pPr>
        <w:spacing w:after="60" w:line="270"/>
      </w:pPr>
      <w:r>
        <w:rPr>
          <w:rFonts w:ascii="Arial" w:cs="Arial" w:eastAsia="Arial" w:hAnsi="Arial"/>
          <w:sz w:val="17"/>
          <w:szCs w:val="17"/>
        </w:rPr>
        <w:t xml:space="preserve">This section addresses: Board-level AI reporting documenting methodology, findings, conclusions, and recommended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Executive AI Risk Briefing Deck</w:t>
      </w:r>
    </w:p>
    <w:p>
      <w:pPr>
        <w:spacing w:after="40"/>
      </w:pPr>
      <w:r>
        <w:rPr>
          <w:rFonts w:ascii="Arial" w:cs="Arial" w:eastAsia="Arial" w:hAnsi="Arial"/>
          <w:sz w:val="17"/>
          <w:szCs w:val="17"/>
        </w:rPr>
        <w:t xml:space="preserve">☐  Board AI Oversight Minutes</w:t>
      </w:r>
    </w:p>
    <w:p>
      <w:pPr>
        <w:spacing w:after="40"/>
      </w:pPr>
      <w:r>
        <w:rPr>
          <w:rFonts w:ascii="Arial" w:cs="Arial" w:eastAsia="Arial" w:hAnsi="Arial"/>
          <w:sz w:val="17"/>
          <w:szCs w:val="17"/>
        </w:rPr>
        <w:t xml:space="preserve">☐  Executive Sign-off Records</w:t>
      </w:r>
    </w:p>
    <w:p>
      <w:pPr>
        <w:spacing w:after="40"/>
      </w:pPr>
      <w:r>
        <w:rPr>
          <w:rFonts w:ascii="Arial" w:cs="Arial" w:eastAsia="Arial" w:hAnsi="Arial"/>
          <w:sz w:val="17"/>
          <w:szCs w:val="17"/>
        </w:rPr>
        <w:t xml:space="preserve">☐  Leadership Accountability Statement</w:t>
      </w:r>
    </w:p>
    <w:p>
      <w:pPr>
        <w:spacing w:after="40"/>
      </w:pPr>
      <w:r>
        <w:rPr>
          <w:rFonts w:ascii="Arial" w:cs="Arial" w:eastAsia="Arial" w:hAnsi="Arial"/>
          <w:sz w:val="17"/>
          <w:szCs w:val="17"/>
        </w:rPr>
        <w:t xml:space="preserve">☐  Executive Dashboard Screenshots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GOV-ACC-01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Governance Committee and Structure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GOV-ACC-03: Executive Leadership AI Oversight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2026-05-29T01:37:55.116Z</dcterms:created>
  <dcterms:modified xsi:type="dcterms:W3CDTF">2026-05-29T01:37:55.116Z</dcterms:modified>
</cp:coreProperties>
</file>

<file path=docProps/custom.xml><?xml version="1.0" encoding="utf-8"?>
<Properties xmlns="http://schemas.openxmlformats.org/officeDocument/2006/custom-properties" xmlns:vt="http://schemas.openxmlformats.org/officeDocument/2006/docPropsVTypes"/>
</file>