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RISK-IND-01 — Independent Risk Assessment</w:t>
      </w:r>
    </w:p>
    <w:p>
      <w:pPr>
        <w:spacing w:after="120"/>
      </w:pPr>
      <w:r>
        <w:rPr>
          <w:rFonts w:ascii="Arial" w:cs="Arial" w:eastAsia="Arial" w:hAnsi="Arial"/>
          <w:color w:val="666666"/>
          <w:sz w:val="17"/>
          <w:szCs w:val="17"/>
        </w:rPr>
        <w:t xml:space="preserve">Category: AI Risk Management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16(f): Providers shall ensure relevant conformity assessment procedure; Article 43: Conformity assessment procedures including third-party assessment</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MEASURE.1.3: Involve internal experts independent from front-line development and/or independent assessors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9.2.1: Conduct internal audits at planned intervals; Clause 9.2.2: Select auditors that ensure objectivity and impartiality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ensure AI risk assessments are periodically validated by independent assessors who are separate from front-line development teams, including internal experts with objectivity or external third-party auditors for high-risk systems.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Independent Assessment Report</w:t>
      </w:r>
    </w:p>
    <w:p>
      <w:pPr>
        <w:spacing w:after="60" w:line="270"/>
      </w:pPr>
      <w:r>
        <w:rPr>
          <w:rFonts w:ascii="Arial" w:cs="Arial" w:eastAsia="Arial" w:hAnsi="Arial"/>
          <w:sz w:val="17"/>
          <w:szCs w:val="17"/>
        </w:rPr>
        <w:t xml:space="preserve">This section addresses: Independent Assessment Report documenting methodology, findings, conclusions, and recommended actions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your risk management tool showing the risk register with risk ratings, owners, and treatment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Third-Party Audit Results</w:t>
      </w:r>
    </w:p>
    <w:p>
      <w:pPr>
        <w:spacing w:after="60" w:line="270"/>
      </w:pPr>
      <w:r>
        <w:rPr>
          <w:rFonts w:ascii="Arial" w:cs="Arial" w:eastAsia="Arial" w:hAnsi="Arial"/>
          <w:sz w:val="17"/>
          <w:szCs w:val="17"/>
        </w:rPr>
        <w:t xml:space="preserve">This section addresses: Third-Party Audit Results with documented scope, methodology, and acceptance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your risk management tool showing the risk register with risk ratings, owners, and treatment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 Internal Audit Schedule</w:t>
      </w:r>
    </w:p>
    <w:p>
      <w:pPr>
        <w:spacing w:after="60" w:line="270"/>
      </w:pPr>
      <w:r>
        <w:rPr>
          <w:rFonts w:ascii="Arial" w:cs="Arial" w:eastAsia="Arial" w:hAnsi="Arial"/>
          <w:sz w:val="17"/>
          <w:szCs w:val="17"/>
        </w:rPr>
        <w:t xml:space="preserve">This section addresses: Internal Audit Schedule with defined frequencies, responsible parties, and trigger conditions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your risk management tool showing the risk register with risk ratings, owners, and treatment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Assessor Independence Declaration</w:t>
      </w:r>
    </w:p>
    <w:p>
      <w:pPr>
        <w:spacing w:after="60" w:line="270"/>
      </w:pPr>
      <w:r>
        <w:rPr>
          <w:rFonts w:ascii="Arial" w:cs="Arial" w:eastAsia="Arial" w:hAnsi="Arial"/>
          <w:sz w:val="17"/>
          <w:szCs w:val="17"/>
        </w:rPr>
        <w:t xml:space="preserve">This section addresses: Assessor Independence Declaration with documented scope, methodology, and acceptance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your risk management tool showing the risk register with risk ratings, owners, and treatment status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Independent Assessment Report</w:t>
      </w:r>
    </w:p>
    <w:p>
      <w:pPr>
        <w:spacing w:after="40"/>
      </w:pPr>
      <w:r>
        <w:rPr>
          <w:rFonts w:ascii="Arial" w:cs="Arial" w:eastAsia="Arial" w:hAnsi="Arial"/>
          <w:sz w:val="17"/>
          <w:szCs w:val="17"/>
        </w:rPr>
        <w:t xml:space="preserve">☐  Third-Party Audit Results</w:t>
      </w:r>
    </w:p>
    <w:p>
      <w:pPr>
        <w:spacing w:after="40"/>
      </w:pPr>
      <w:r>
        <w:rPr>
          <w:rFonts w:ascii="Arial" w:cs="Arial" w:eastAsia="Arial" w:hAnsi="Arial"/>
          <w:sz w:val="17"/>
          <w:szCs w:val="17"/>
        </w:rPr>
        <w:t xml:space="preserve">☐  Internal Audit Schedule</w:t>
      </w:r>
    </w:p>
    <w:p>
      <w:pPr>
        <w:spacing w:after="40"/>
      </w:pPr>
      <w:r>
        <w:rPr>
          <w:rFonts w:ascii="Arial" w:cs="Arial" w:eastAsia="Arial" w:hAnsi="Arial"/>
          <w:sz w:val="17"/>
          <w:szCs w:val="17"/>
        </w:rPr>
        <w:t xml:space="preserve">☐  Assessor Independence Declaration</w:t>
      </w:r>
    </w:p>
    <w:p>
      <w:pPr>
        <w:spacing w:after="40"/>
      </w:pPr>
      <w:r>
        <w:rPr>
          <w:rFonts w:ascii="Arial" w:cs="Arial" w:eastAsia="Arial" w:hAnsi="Arial"/>
          <w:sz w:val="17"/>
          <w:szCs w:val="17"/>
        </w:rPr>
        <w:t xml:space="preserve">☐  Assessment Remediation Tracker</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OPS-AUDIT-01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Internal Audit Programme</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RISK-IND-01: Independent Risk Assessment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2026-05-29T01:37:56.855Z</dcterms:created>
  <dcterms:modified xsi:type="dcterms:W3CDTF">2026-05-29T01:37:56.855Z</dcterms:modified>
</cp:coreProperties>
</file>

<file path=docProps/custom.xml><?xml version="1.0" encoding="utf-8"?>
<Properties xmlns="http://schemas.openxmlformats.org/officeDocument/2006/custom-properties" xmlns:vt="http://schemas.openxmlformats.org/officeDocument/2006/docPropsVTypes"/>
</file>