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TRANS-REG-01 — EU Database Registration</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16(i): Providers of high-risk AI systems shall comply with the registration obligations referred to in Article 49(1); Article 49(1): Before placing on the market or putting into service a high-risk AI system, the provider shall register that system in the EU database referred to in Article 71</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transparency and explainability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ISO 42001 transparency and explainability requirements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register each high-risk AI system in the EU database established under Article 71 before placing the system on the market or putting it into service, maintain registration information in an accurate and up-to-date state, and comply with all registration obligations including timely submission of required information and updates reflecting system modifications or status changes.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EU Database Registration Record</w:t>
      </w:r>
    </w:p>
    <w:p>
      <w:pPr>
        <w:spacing w:after="60" w:line="270"/>
      </w:pPr>
      <w:r>
        <w:rPr>
          <w:rFonts w:ascii="Arial" w:cs="Arial" w:eastAsia="Arial" w:hAnsi="Arial"/>
          <w:sz w:val="17"/>
          <w:szCs w:val="17"/>
        </w:rPr>
        <w:t xml:space="preserve">This section addresses: EU Database Registration Record documenting the complete registration submission for each high-risk AI system including all data fields submitted</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Registration Confirmation</w:t>
      </w:r>
    </w:p>
    <w:p>
      <w:pPr>
        <w:spacing w:after="60" w:line="270"/>
      </w:pPr>
      <w:r>
        <w:rPr>
          <w:rFonts w:ascii="Arial" w:cs="Arial" w:eastAsia="Arial" w:hAnsi="Arial"/>
          <w:sz w:val="17"/>
          <w:szCs w:val="17"/>
        </w:rPr>
        <w:t xml:space="preserve">This section addresses: Registration Confirmation providing official acknowledgment of registration from the EU database system serving as evidence of timely compliance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Registration Update Log</w:t>
      </w:r>
    </w:p>
    <w:p>
      <w:pPr>
        <w:spacing w:after="60" w:line="270"/>
      </w:pPr>
      <w:r>
        <w:rPr>
          <w:rFonts w:ascii="Arial" w:cs="Arial" w:eastAsia="Arial" w:hAnsi="Arial"/>
          <w:sz w:val="17"/>
          <w:szCs w:val="17"/>
        </w:rPr>
        <w:t xml:space="preserve">This section addresses: Registration Update Log recording all modifications to registration information with date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Public Information Verification</w:t>
      </w:r>
    </w:p>
    <w:p>
      <w:pPr>
        <w:spacing w:after="60" w:line="270"/>
      </w:pPr>
      <w:r>
        <w:rPr>
          <w:rFonts w:ascii="Arial" w:cs="Arial" w:eastAsia="Arial" w:hAnsi="Arial"/>
          <w:sz w:val="17"/>
          <w:szCs w:val="17"/>
        </w:rPr>
        <w:t xml:space="preserve">This section addresses: Public Information Verification documenting periodic review of publicly visible registration information to confirm accuracy, completeness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Registration Maintenance Schedule</w:t>
      </w:r>
    </w:p>
    <w:p>
      <w:pPr>
        <w:spacing w:after="60" w:line="270"/>
      </w:pPr>
      <w:r>
        <w:rPr>
          <w:rFonts w:ascii="Arial" w:cs="Arial" w:eastAsia="Arial" w:hAnsi="Arial"/>
          <w:sz w:val="17"/>
          <w:szCs w:val="17"/>
        </w:rPr>
        <w:t xml:space="preserve">This section addresses: Registration Maintenance Schedule establishing regular review cadences (quarterly minimum) for verifying registration accuracy and defining</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EU Database Registration Record</w:t>
      </w:r>
    </w:p>
    <w:p>
      <w:pPr>
        <w:spacing w:after="40"/>
      </w:pPr>
      <w:r>
        <w:rPr>
          <w:rFonts w:ascii="Arial" w:cs="Arial" w:eastAsia="Arial" w:hAnsi="Arial"/>
          <w:sz w:val="17"/>
          <w:szCs w:val="17"/>
        </w:rPr>
        <w:t xml:space="preserve">☐  Registration Confirmation</w:t>
      </w:r>
    </w:p>
    <w:p>
      <w:pPr>
        <w:spacing w:after="40"/>
      </w:pPr>
      <w:r>
        <w:rPr>
          <w:rFonts w:ascii="Arial" w:cs="Arial" w:eastAsia="Arial" w:hAnsi="Arial"/>
          <w:sz w:val="17"/>
          <w:szCs w:val="17"/>
        </w:rPr>
        <w:t xml:space="preserve">☐  Registration Update Log</w:t>
      </w:r>
    </w:p>
    <w:p>
      <w:pPr>
        <w:spacing w:after="40"/>
      </w:pPr>
      <w:r>
        <w:rPr>
          <w:rFonts w:ascii="Arial" w:cs="Arial" w:eastAsia="Arial" w:hAnsi="Arial"/>
          <w:sz w:val="17"/>
          <w:szCs w:val="17"/>
        </w:rPr>
        <w:t xml:space="preserve">☐  Public Information Verification</w:t>
      </w:r>
    </w:p>
    <w:p>
      <w:pPr>
        <w:spacing w:after="40"/>
      </w:pPr>
      <w:r>
        <w:rPr>
          <w:rFonts w:ascii="Arial" w:cs="Arial" w:eastAsia="Arial" w:hAnsi="Arial"/>
          <w:sz w:val="17"/>
          <w:szCs w:val="17"/>
        </w:rPr>
        <w:t xml:space="preserve">☐  Registration Maintenance Schedule</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TRANS-REG-01: EU Database Registration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2026-05-29T01:38:01.683Z</dcterms:created>
  <dcterms:modified xsi:type="dcterms:W3CDTF">2026-05-29T01:38:01.683Z</dcterms:modified>
</cp:coreProperties>
</file>

<file path=docProps/custom.xml><?xml version="1.0" encoding="utf-8"?>
<Properties xmlns="http://schemas.openxmlformats.org/officeDocument/2006/custom-properties" xmlns:vt="http://schemas.openxmlformats.org/officeDocument/2006/docPropsVTypes"/>
</file>