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VER-SEC-01 — Security Testing and Adversarial Robustness</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15(5): Technical solutions to address AI-specific vulnerabilities shall include measures to prevent, detect, respond to and control attacks including data poisoning, model poisoning, adversarial examples, or model flaws; Annex IV(2)(h): Cybersecurity measures put in place for high-risk AI systems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MEASURE.2.7: Evaluate and document AI system security and resilience as part of the broader security assessment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A.6.2.3: Consider security threats throughout AI system life cycle including data poisoning, model stealing, and model inversion; Clause A.6.2.4: Identify AI-specific security threats and implement appropriate countermeasures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comprehensive security testing and adversarial robustness evaluation for all high-risk AI systems including documented security test plans, adversarial robustness test results, penetration test reports, data poisoning vulnerability assessments, and model extraction risk assessments to ensure AI systems are resilient against security threats and adversarial attacks.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Security Test Plan</w:t>
      </w:r>
    </w:p>
    <w:p>
      <w:pPr>
        <w:spacing w:after="60" w:line="270"/>
      </w:pPr>
      <w:r>
        <w:rPr>
          <w:rFonts w:ascii="Arial" w:cs="Arial" w:eastAsia="Arial" w:hAnsi="Arial"/>
          <w:sz w:val="17"/>
          <w:szCs w:val="17"/>
        </w:rPr>
        <w:t xml:space="preserve">This section addresses: Security Test Plan defining AI-specific threat scenarios, attack vectors, test methodologies, security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Adversarial Robustness Test Results</w:t>
      </w:r>
    </w:p>
    <w:p>
      <w:pPr>
        <w:spacing w:after="60" w:line="270"/>
      </w:pPr>
      <w:r>
        <w:rPr>
          <w:rFonts w:ascii="Arial" w:cs="Arial" w:eastAsia="Arial" w:hAnsi="Arial"/>
          <w:sz w:val="17"/>
          <w:szCs w:val="17"/>
        </w:rPr>
        <w:t xml:space="preserve">This section addresses: Adversarial Robustness Test Results documenting system responses to adversarial input perturbations using established attack methods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Penetration Test Report from qualified security assessors</w:t>
      </w:r>
    </w:p>
    <w:p>
      <w:pPr>
        <w:spacing w:after="60" w:line="270"/>
      </w:pPr>
      <w:r>
        <w:rPr>
          <w:rFonts w:ascii="Arial" w:cs="Arial" w:eastAsia="Arial" w:hAnsi="Arial"/>
          <w:sz w:val="17"/>
          <w:szCs w:val="17"/>
        </w:rPr>
        <w:t xml:space="preserve">This section addresses: Penetration Test Report from qualified security assessors documenting AI-specific penetration testing including API security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Data Poisoning Vulnerability Assessment</w:t>
      </w:r>
    </w:p>
    <w:p>
      <w:pPr>
        <w:spacing w:after="60" w:line="270"/>
      </w:pPr>
      <w:r>
        <w:rPr>
          <w:rFonts w:ascii="Arial" w:cs="Arial" w:eastAsia="Arial" w:hAnsi="Arial"/>
          <w:sz w:val="17"/>
          <w:szCs w:val="17"/>
        </w:rPr>
        <w:t xml:space="preserve">This section addresses: Data Poisoning Vulnerability Assessment evaluating susceptibility to training data poisoning attacks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Model Extraction Risk Assessment</w:t>
      </w:r>
    </w:p>
    <w:p>
      <w:pPr>
        <w:spacing w:after="60" w:line="270"/>
      </w:pPr>
      <w:r>
        <w:rPr>
          <w:rFonts w:ascii="Arial" w:cs="Arial" w:eastAsia="Arial" w:hAnsi="Arial"/>
          <w:sz w:val="17"/>
          <w:szCs w:val="17"/>
        </w:rPr>
        <w:t xml:space="preserve">This section addresses: Model Extraction Risk Assessment evaluating risk of model theft through query-based extraction attacks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Security Test Plan</w:t>
      </w:r>
    </w:p>
    <w:p>
      <w:pPr>
        <w:spacing w:after="40"/>
      </w:pPr>
      <w:r>
        <w:rPr>
          <w:rFonts w:ascii="Arial" w:cs="Arial" w:eastAsia="Arial" w:hAnsi="Arial"/>
          <w:sz w:val="17"/>
          <w:szCs w:val="17"/>
        </w:rPr>
        <w:t xml:space="preserve">☐  Adversarial Robustness Test Results</w:t>
      </w:r>
    </w:p>
    <w:p>
      <w:pPr>
        <w:spacing w:after="40"/>
      </w:pPr>
      <w:r>
        <w:rPr>
          <w:rFonts w:ascii="Arial" w:cs="Arial" w:eastAsia="Arial" w:hAnsi="Arial"/>
          <w:sz w:val="17"/>
          <w:szCs w:val="17"/>
        </w:rPr>
        <w:t xml:space="preserve">☐  Penetration Test Report</w:t>
      </w:r>
    </w:p>
    <w:p>
      <w:pPr>
        <w:spacing w:after="40"/>
      </w:pPr>
      <w:r>
        <w:rPr>
          <w:rFonts w:ascii="Arial" w:cs="Arial" w:eastAsia="Arial" w:hAnsi="Arial"/>
          <w:sz w:val="17"/>
          <w:szCs w:val="17"/>
        </w:rPr>
        <w:t xml:space="preserve">☐  Data Poisoning Vulnerability Assessment</w:t>
      </w:r>
    </w:p>
    <w:p>
      <w:pPr>
        <w:spacing w:after="40"/>
      </w:pPr>
      <w:r>
        <w:rPr>
          <w:rFonts w:ascii="Arial" w:cs="Arial" w:eastAsia="Arial" w:hAnsi="Arial"/>
          <w:sz w:val="17"/>
          <w:szCs w:val="17"/>
        </w:rPr>
        <w:t xml:space="preserve">☐  Model Extraction Risk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DATA-TEST-01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Validation and Test Data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VER-SEC-01: Security Testing and Adversarial Robustness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2026-05-29T01:37:59.898Z</dcterms:created>
  <dcterms:modified xsi:type="dcterms:W3CDTF">2026-05-29T01:37:59.898Z</dcterms:modified>
</cp:coreProperties>
</file>

<file path=docProps/custom.xml><?xml version="1.0" encoding="utf-8"?>
<Properties xmlns="http://schemas.openxmlformats.org/officeDocument/2006/custom-properties" xmlns:vt="http://schemas.openxmlformats.org/officeDocument/2006/docPropsVTypes"/>
</file>