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lineRule="auto"/>
        <w:jc w:val="center"/>
        <w:rPr>
          <w:rFonts w:ascii="Cambria" w:cs="Cambria" w:eastAsia="Cambria" w:hAnsi="Cambria"/>
          <w:b w:val="1"/>
          <w:color w:val="2a4b7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2a4b7e"/>
          <w:sz w:val="21"/>
          <w:szCs w:val="21"/>
          <w:rtl w:val="0"/>
        </w:rPr>
        <w:t xml:space="preserve">Supplementary Table S1: Strain Identifier Mapping</w:t>
      </w:r>
    </w:p>
    <w:tbl>
      <w:tblPr>
        <w:tblStyle w:val="Table1"/>
        <w:tblW w:w="8865.0" w:type="dxa"/>
        <w:jc w:val="left"/>
        <w:tblLayout w:type="fixed"/>
        <w:tblLook w:val="0600"/>
      </w:tblPr>
      <w:tblGrid>
        <w:gridCol w:w="3240"/>
        <w:gridCol w:w="5625"/>
        <w:tblGridChange w:id="0">
          <w:tblGrid>
            <w:gridCol w:w="3240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Rule="auto"/>
              <w:jc w:val="center"/>
              <w:rPr>
                <w:rFonts w:ascii="Cambria" w:cs="Cambria" w:eastAsia="Cambria" w:hAnsi="Cambri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7"/>
                <w:szCs w:val="17"/>
                <w:rtl w:val="0"/>
              </w:rPr>
              <w:t xml:space="preserve">Label Used in Figures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mbria" w:cs="Cambria" w:eastAsia="Cambria" w:hAnsi="Cambri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7"/>
                <w:szCs w:val="17"/>
                <w:rtl w:val="0"/>
              </w:rPr>
              <w:t xml:space="preserve">Full Strain Name and Genome Assembly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Strain2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Staphylococcus aureus subsp. aureus USA300_TCH959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Strain1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Staphylococcus aureus subsp. aureus MW2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Strain2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Pseudomonas aeruginosa UCBPP-PA14 genome assembly ASM1462v1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Strain1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Pseudomonas aeruginosa PAO1 reference genome ASM676v1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Strain2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Klebsiella pneumoniae genome assembly ASM615169v1 (KP95)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Strain1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Klebsiella pneumoniae genome assembly ASM522259v1 (ST15)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Strain2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Enterococcus faecium DO genome assembly ASM17439v2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Strain1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Enterococcus faecium Com15 genome assembly ASM15765v1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Strain2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Enterobacter cloacae genome assembly ASM430282v1 (PLV-MS02)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Strain1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Enterobacter cloacae genome assembly ASM100663v1 (CH1)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Strain2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Acinetobacter baumannii AYE genome assembly ASM6924v1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Strain1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Acinetobacter baumannii ATCC 19606 = CIP 70.34 = JCM 6841 genome assembly ASM16229v1</w:t>
            </w:r>
          </w:p>
        </w:tc>
      </w:tr>
    </w:tbl>
    <w:p w:rsidR="00000000" w:rsidDel="00000000" w:rsidP="00000000" w:rsidRDefault="00000000" w:rsidRPr="00000000" w14:paraId="0000001D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