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8"/>
        </w:rPr>
        <w:t>Detailed Design Document (LLD)</w:t>
      </w:r>
    </w:p>
    <w:p>
      <w:r>
        <w:rPr>
          <w:color w:val="475569"/>
          <w:sz w:val="26"/>
        </w:rPr>
        <w:t>Edge Industrial AI Defect Inspection, Optical Self-Healing &amp; Vector-RAG Telemetry System</w:t>
      </w:r>
    </w:p>
    <w:p>
      <w:r>
        <w:rPr>
          <w:i/>
          <w:color w:val="64748B"/>
          <w:sz w:val="19"/>
        </w:rPr>
        <w:t>Framework: MASTER_SDLC_AGENTS | Version 1.0.0 | Phase 7: DevOps Release | Date: October 2026</w:t>
      </w:r>
    </w:p>
    <w:p>
      <w:pPr>
        <w:spacing w:after="200"/>
      </w:pPr>
    </w:p>
    <w:p>
      <w:pPr>
        <w:pStyle w:val="Heading1"/>
      </w:pPr>
      <w:r>
        <w:t>1. Executive Summary &amp; Autonomous Governance</w:t>
      </w:r>
    </w:p>
    <w:p>
      <w:r>
        <w:t>The Edge Industrial AI Defect Inspection Platform is a production-grade automated visual inspection and work order synthesis system engineered for discrete metal manufacturing lines (milled aluminum, cast iron, stamped galvanized steel, titanium alloys). Operating with sub-100ms latency on standard edge x86/ARM CPUs without requiring GPU hardware, the platform combines grain-neutral row intensity subtraction, a 21-dimensional feature descriptor engine, 100-tree Random Forest classification, and Vector Retrieval-Augmented Generation (RAG) to synthesize OSHA 29 CFR 1910.147 Lockout/Tagout maintenance work orders upon flaw detection.</w:t>
      </w:r>
    </w:p>
    <w:p>
      <w:r>
        <w:t>Autonomous Governance via MASTER_SDLC_AGENTS Framework:</w:t>
        <w:br/>
        <w:t>This project was developed, verified, and released under the strict governance of the 7-Agent Master SDLC Framework with Human-in-the-Loop (HITL) quality gates across all 7 lifecycle phases:</w:t>
        <w:br/>
        <w:t>• Phase 1 (Product Manager): Formulated PRD.md with plain-English terminology and bracketed operator tooltips.</w:t>
        <w:br/>
        <w:t>• Phase 2 (Technical Architect): Authored architecture-spec.md establishing 2-tier ASCII presentation vs. inference engine.</w:t>
        <w:br/>
        <w:t>• Phase 3 (Tech Lead): Authored task-queue.md defining modular tasks and Definition of Done.</w:t>
        <w:br/>
        <w:t>• Phase 4 (Software Engineer): Implemented src/utils.py, src/detector.py, and src/app.py.</w:t>
        <w:br/>
        <w:t>• Phase 5 (QA Test Engineer): Validated 34/34 passing unit and integration tests; triaged and closed 5 defects.</w:t>
        <w:br/>
        <w:t>• Phase 6 (Security Auditor): Conducted SAST static analysis, hardened against decompression bombs, and certified SAFE TO COMMIT.</w:t>
        <w:br/>
        <w:t>• Phase 7 (DevOps Engineer): Packaged production Docker container, manuals, and customer deliverables.</w:t>
      </w:r>
    </w:p>
    <w:p>
      <w:pPr>
        <w:pStyle w:val="Heading1"/>
      </w:pPr>
      <w:r>
        <w:t>2. Architectural Pattern: Detective vs. Painter</w:t>
      </w:r>
    </w:p>
    <w:p>
      <w:r>
        <w:t>The application architecture strictly decouples mathematical perception from graphical presentation through the Detective vs. Painter design pattern:</w:t>
        <w:br/>
        <w:t>• The Detective (src/detector.py): Optical quality assessment (Laplacian variance, contrast, brightness), autonomous self-healing (unsharp mask, CLAHE, gamma LUT), 21-D feature extraction (geometry, Hu moments, GLCM texture), Random Forest classification, dynamic severity rating (0.0 to 10.0), and TF-IDF Vector-RAG work order synthesis.</w:t>
        <w:br/>
        <w:t>• The Painter (src/utils.py): Grain-neutral row-wise mean intensity background cancellation, semi-transparent Crimson Red flaw overlays (RGB 239, 68, 68), bounding boxes, top status HUD banners, and RFC 4180 CSV telemetry export.</w:t>
        <w:br/>
        <w:t>• The Operator Cockpit (src/app.py): Reactive Streamlit industrial dashboard with dual-viewport canvas, KPI cards, bracketed parameter sliders, and 1-click work order console.</w:t>
      </w:r>
    </w:p>
    <w:p>
      <w:pPr>
        <w:pStyle w:val="Heading1"/>
      </w:pPr>
      <w:r>
        <w:t>3. System Contracts &amp; Telemetry Data Dictionary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Units / Range</w:t>
            </w:r>
          </w:p>
        </w:tc>
        <w:tc>
          <w:tcPr>
            <w:tcW w:type="dxa" w:w="3744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Industrial Description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defect_type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normal|scratch|crack|corrosion|dimensional</w:t>
            </w:r>
          </w:p>
        </w:tc>
        <w:tc>
          <w:tcPr>
            <w:tcW w:type="dxa" w:w="374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Classified defect state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severity_score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float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0.0 to 10.0</w:t>
            </w:r>
          </w:p>
        </w:tc>
        <w:tc>
          <w:tcPr>
            <w:tcW w:type="dxa" w:w="374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Continuous flaw severity rating (Normal = 0.0)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severity_level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Negligible|Minor|Moderate|Critical</w:t>
            </w:r>
          </w:p>
        </w:tc>
        <w:tc>
          <w:tcPr>
            <w:tcW w:type="dxa" w:w="374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Operational triage category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confidence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float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0.00 to 1.00</w:t>
            </w:r>
          </w:p>
        </w:tc>
        <w:tc>
          <w:tcPr>
            <w:tcW w:type="dxa" w:w="374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Random Forest ensemble class probability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optical_health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Optimal|Restored (Blur)|Restored (Glare)</w:t>
            </w:r>
          </w:p>
        </w:tc>
        <w:tc>
          <w:tcPr>
            <w:tcW w:type="dxa" w:w="374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Camera sensor operational integrity status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laplacian_var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float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Score (&gt; 45 = Sharp)</w:t>
            </w:r>
          </w:p>
        </w:tc>
        <w:tc>
          <w:tcPr>
            <w:tcW w:type="dxa" w:w="374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High-frequency image gradient sharpness index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total_area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float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Pixels</w:t>
            </w:r>
          </w:p>
        </w:tc>
        <w:tc>
          <w:tcPr>
            <w:tcW w:type="dxa" w:w="374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Accumulated defect surface area in pixels</w:t>
            </w:r>
          </w:p>
        </w:tc>
      </w:tr>
      <w:tr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work_order_id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WO-M&lt;frame&gt;-&lt;DEFECT&gt;</w:t>
            </w:r>
          </w:p>
        </w:tc>
        <w:tc>
          <w:tcPr>
            <w:tcW w:type="dxa" w:w="374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Unique synthesized maintenance ticket identifier</w:t>
            </w:r>
          </w:p>
        </w:tc>
      </w:tr>
    </w:tbl>
    <w:p>
      <w:pPr>
        <w:spacing w:after="200"/>
      </w:pPr>
    </w:p>
    <w:p>
      <w:pPr>
        <w:pStyle w:val="Heading1"/>
      </w:pPr>
      <w:r>
        <w:t>4. Operator Plain-English Parameter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Dashboard Slider</w:t>
            </w:r>
          </w:p>
        </w:tc>
        <w:tc>
          <w:tcPr>
            <w:tcW w:type="dxa" w:w="3744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Plain-English Guidance Tooltip</w:t>
            </w:r>
          </w:p>
        </w:tc>
        <w:tc>
          <w:tcPr>
            <w:tcW w:type="dxa" w:w="3024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Factory Operational Impact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Defect Sensitivity Threshold</w:t>
            </w:r>
          </w:p>
        </w:tc>
        <w:tc>
          <w:tcPr>
            <w:tcW w:type="dxa" w:w="374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[Defect Sensitivity: Higher values catch microscopic hairlines but may increase false alarms; lower values ignore minor cosmetic marks]</w:t>
            </w:r>
          </w:p>
        </w:tc>
        <w:tc>
          <w:tcPr>
            <w:tcW w:type="dxa" w:w="302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Controls row-subtraction binarization offset (range: 10 to 60, default 28).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Surface Contrast Boost</w:t>
            </w:r>
          </w:p>
        </w:tc>
        <w:tc>
          <w:tcPr>
            <w:tcW w:type="dxa" w:w="374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[Contrast Boost: Enhances surface texture contrast; recommended for dull, unpolished or dark-milled cast iron plates]</w:t>
            </w:r>
          </w:p>
        </w:tc>
        <w:tc>
          <w:tcPr>
            <w:tcW w:type="dxa" w:w="302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Adjusts CLAHE tile grid clipping limit for deep defect shadow enhancement.</w:t>
            </w:r>
          </w:p>
        </w:tc>
      </w:tr>
      <w:tr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Camera Sharpness Alarm</w:t>
            </w:r>
          </w:p>
        </w:tc>
        <w:tc>
          <w:tcPr>
            <w:tcW w:type="dxa" w:w="374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[Camera Sharpness Alarm: Flags blurry or dirty camera lens if variance falls below threshold; triggers auto-sharpening unsharp mask]</w:t>
            </w:r>
          </w:p>
        </w:tc>
        <w:tc>
          <w:tcPr>
            <w:tcW w:type="dxa" w:w="302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Governs Laplacian blur threshold triggering automatic self-healing high-boost filter.</w:t>
            </w:r>
          </w:p>
        </w:tc>
      </w:tr>
    </w:tbl>
    <w:p>
      <w:pPr>
        <w:spacing w:after="200"/>
      </w:pPr>
    </w:p>
    <w:p>
      <w:pPr>
        <w:pStyle w:val="Heading1"/>
      </w:pPr>
      <w:r>
        <w:t>5. Comparative Architectural Guide: Random Forest vs. ResNet vs. MobileNet vs. YOLO</w:t>
      </w:r>
    </w:p>
    <w:p>
      <w:r>
        <w:t>A critical engineering decision in industrial vision design is selecting the optimal model architecture balancing edge inference latency, training sample requirements, texture-handling capability, and deployment cost: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Random Forest + 21-D (Chosen)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ResNet-18/50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MobileNet-V3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YOLO-v8/v11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Inference Speed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&lt; 15ms (Ultra Fast on CPU)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45ms - 85ms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20ms - 35ms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40ms - 90ms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Edge Hardware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Standard x86 / ARM CPU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Requires GPU / VPU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Edge NPU / Fast CPU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Requires CUDA GPU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Brushed Metal Grain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Immune (Row-neutral filter)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Moderate (Can trigger false alarms)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Prone to noise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Moderate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Data Requirements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Few-shot / Synthetic (&lt; 100 samples)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Requires 5,000+ labeled images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Requires 3,000+ images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Requires 10,000+ bounding boxes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Memory Footprint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&lt; 250 MB RAM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400 MB - 800 MB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200 MB - 350 MB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500 MB - 1.2 GB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Self-Healing RAG Link</w:t>
            </w:r>
          </w:p>
        </w:tc>
        <w:tc>
          <w:tcPr>
            <w:tcW w:type="dxa" w:w="21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Direct feature integration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Requires external embedding head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Requires embedding head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Object box bounding only</w:t>
            </w:r>
          </w:p>
        </w:tc>
      </w:tr>
    </w:tbl>
    <w:p>
      <w:pPr>
        <w:spacing w:after="200"/>
      </w:pPr>
    </w:p>
    <w:p>
      <w:pPr>
        <w:pStyle w:val="Heading1"/>
      </w:pPr>
      <w:r>
        <w:t>6. Defensive Security Architecture &amp; Vulnerability Mitigations</w:t>
      </w:r>
    </w:p>
    <w:p>
      <w:r>
        <w:t>1. Decompression Bomb Protection: Capped Image.MAX_IMAGE_PIXELS = 50_000_000 to neutralize pixel bomb DoS attacks.</w:t>
        <w:br/>
        <w:t>2. Zero Arbitrary Code Execution: Zero instances of eval, exec, os.system, or subprocess. Pure in-memory execution.</w:t>
        <w:br/>
        <w:t>3. CSV Formula Injection Defense: Escapes dangerous trigger prefixes (=, +, -, @) with a single-quote prefix (') per RFC 4180.</w:t>
        <w:br/>
        <w:t>4. Model Deserialization Fallback: Encapsulates joblib.load() with automatic fallback to native on-the-fly training (&lt;1s).</w:t>
        <w:br/>
        <w:t>5. 24/7 Memory Isolation: Bounded memory footprint (&lt; 250 MB RAM) ensures uninterrupted operation on factory lines.</w:t>
      </w:r>
    </w:p>
    <w:p>
      <w:pPr>
        <w:pStyle w:val="Heading1"/>
      </w:pPr>
      <w:r>
        <w:t>7. Real-World Edge-Case Resolutions &amp; Closed Defects (BUG-001 to BUG-005)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Defect ID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Subsystem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Root Cause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Resolution &amp; Verification</w:t>
            </w:r>
          </w:p>
        </w:tc>
      </w:tr>
      <w:tr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BUG-001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src/app.py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Right header text wrapped into 2 lines, pushing mask down 28px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Created .viewport-header with white-space: nowrap; locked y=248px</w:t>
            </w:r>
          </w:p>
        </w:tc>
      </w:tr>
      <w:tr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BUG-002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src/utils.py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Unhandled shape unpacking on 2D grayscale arrays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Used img_arr.shape[:2] with conditional channel handling</w:t>
            </w:r>
          </w:p>
        </w:tc>
      </w:tr>
      <w:tr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BUG-003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src/detector.py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Mixed query casing lowered TF-IDF cosine similarity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Enforced .lower().strip() normalization across corpus and queries</w:t>
            </w:r>
          </w:p>
        </w:tc>
      </w:tr>
      <w:tr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BUG-004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src/detector.py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Normal flawless component computed non-zero severity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color w:val="1E293B"/>
                <w:sz w:val="18"/>
              </w:rPr>
              <w:t>Enforced strict zero severity return when defect == 'normal'</w:t>
            </w:r>
          </w:p>
        </w:tc>
      </w:tr>
      <w:tr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BUG-005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src/detector.py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Severity score on massive defects exceeded 10.0 ceiling</w:t>
            </w:r>
          </w:p>
        </w:tc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r>
              <w:rPr>
                <w:color w:val="1E293B"/>
                <w:sz w:val="18"/>
              </w:rPr>
              <w:t>Added mathematical np.clip(severity, 0.0, 10.0)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