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44"/>
        </w:rPr>
        <w:t>Docker Container Generation &amp; Testing Manual</w:t>
      </w:r>
    </w:p>
    <w:p>
      <w:r>
        <w:rPr>
          <w:color w:val="475569"/>
          <w:sz w:val="24"/>
        </w:rPr>
        <w:t>Production Multi-Stage Container Packaging, Healthcheck Probing &amp; Orchestration Guide</w:t>
      </w:r>
    </w:p>
    <w:p>
      <w:r>
        <w:rPr>
          <w:i/>
          <w:color w:val="64748B"/>
          <w:sz w:val="19"/>
        </w:rPr>
        <w:t>Framework: MASTER_SDLC_AGENTS | Version 1.0.0 | Release: Production Container Guide</w:t>
      </w:r>
    </w:p>
    <w:p>
      <w:pPr>
        <w:spacing w:after="200"/>
      </w:pPr>
    </w:p>
    <w:p>
      <w:pPr>
        <w:pStyle w:val="Heading1"/>
      </w:pPr>
      <w:r>
        <w:t>1. Multi-Stage Container Blueprint</w:t>
      </w:r>
    </w:p>
    <w:p>
      <w:r>
        <w:t>The application is packaged as a lightweight, secure Docker container based on python:3.10-slim. The container incorporates defensible security practices:</w:t>
        <w:br/>
        <w:t>• Non-Root Security Context: Runs under unprivileged user 'appuser' (UID 1000) to prevent host privilege escalation.</w:t>
        <w:br/>
        <w:t>• Headless OpenCV Support: Incorporates libgl1 and libglib2.0-0 without heavy X11 GUI baggage.</w:t>
        <w:br/>
        <w:t>• Optimized Layer Caching: Requirements are installed in an isolated cache layer prior to copying source code.</w:t>
        <w:br/>
        <w:t>• Automated Healthcheck Probe: Continuously tests Streamlit HTTP endpoint (/_stcore/health) every 30 seconds.</w:t>
      </w:r>
    </w:p>
    <w:p>
      <w:pPr>
        <w:pStyle w:val="Heading1"/>
      </w:pPr>
      <w:r>
        <w:t>2. Step-by-Step Container Deployment</w:t>
      </w:r>
    </w:p>
    <w:p>
      <w:r>
        <w:t>1. Build the Docker image:</w:t>
        <w:br/>
        <w:t xml:space="preserve">   docker build -t industrial-vision-rag:1.0.0 .</w:t>
        <w:br/>
        <w:br/>
        <w:t>2. Launch via Docker Compose (Recommended):</w:t>
        <w:br/>
        <w:t xml:space="preserve">   docker compose up --build -d</w:t>
        <w:br/>
        <w:br/>
        <w:t>3. Inspect running containers:</w:t>
        <w:br/>
        <w:t xml:space="preserve">   docker ps --filter name=industrial_vision_rag_cockpit</w:t>
        <w:br/>
        <w:br/>
        <w:t>4. View live logs:</w:t>
        <w:br/>
        <w:t xml:space="preserve">   docker logs -f industrial_vision_rag_cockpit</w:t>
        <w:br/>
        <w:br/>
        <w:t>5. Stop and clean up:</w:t>
        <w:br/>
        <w:t xml:space="preserve">   docker compose down</w:t>
      </w:r>
    </w:p>
    <w:p>
      <w:pPr>
        <w:pStyle w:val="Heading1"/>
      </w:pPr>
      <w:r>
        <w:t>3. Container Healthcheck &amp; Verification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  <w:shd w:fill="1E293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Verification Step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  <w:shd w:fill="1E293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Command / Endpoint</w:t>
            </w:r>
          </w:p>
        </w:tc>
        <w:tc>
          <w:tcPr>
            <w:tcW w:type="dxa" w:w="2160"/>
            <w:tcMar>
              <w:top w:w="120" w:type="dxa"/>
              <w:bottom w:w="120" w:type="dxa"/>
              <w:left w:w="150" w:type="dxa"/>
              <w:right w:w="150" w:type="dxa"/>
            </w:tcMar>
            <w:shd w:fill="1E293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Expected Output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50" w:type="dxa"/>
              <w:right w:w="150" w:type="dxa"/>
            </w:tcMar>
            <w:shd w:fill="1E293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Container Build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docker build -t test .</w:t>
            </w:r>
          </w:p>
        </w:tc>
        <w:tc>
          <w:tcPr>
            <w:tcW w:type="dxa" w:w="216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Successfully tagged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VERIFIED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Compose Startup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docker compose up -d</w:t>
            </w:r>
          </w:p>
        </w:tc>
        <w:tc>
          <w:tcPr>
            <w:tcW w:type="dxa" w:w="216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Started container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VERIFIED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Healthcheck Probe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curl -f http://localhost:8501/_stcore/health</w:t>
            </w:r>
          </w:p>
        </w:tc>
        <w:tc>
          <w:tcPr>
            <w:tcW w:type="dxa" w:w="216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HTTP 200 OK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HEALTHY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Memory Envelope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docker stats --no-stream</w:t>
            </w:r>
          </w:p>
        </w:tc>
        <w:tc>
          <w:tcPr>
            <w:tcW w:type="dxa" w:w="216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MEM USAGE &lt; 250 MiB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OPTIMAL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Non-Root Security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docker exec &lt;cid&gt; whoami</w:t>
            </w:r>
          </w:p>
        </w:tc>
        <w:tc>
          <w:tcPr>
            <w:tcW w:type="dxa" w:w="216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appuser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PASS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