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0"/>
        <w:jc w:val="both"/>
        <w:rPr>
          <w:rFonts w:ascii="Times New Roman" w:hAnsi="Times New Roman"/>
          <w:sz w:val="24"/>
          <w:szCs w:val="24"/>
        </w:rPr>
      </w:pPr>
      <w:bookmarkStart w:id="0" w:name="materials-and-methods"/>
      <w:r>
        <w:rPr>
          <w:rFonts w:ascii="Times New Roman" w:hAnsi="Times New Roman"/>
          <w:b/>
          <w:bCs/>
          <w:sz w:val="24"/>
          <w:szCs w:val="24"/>
        </w:rPr>
        <w:t>Materials and Methods</w:t>
      </w:r>
      <w:bookmarkEnd w:id="0"/>
    </w:p>
    <w:p>
      <w:pPr>
        <w:pStyle w:val="FirstParagraph"/>
        <w:bidi w:val="0"/>
        <w:jc w:val="both"/>
        <w:rPr>
          <w:rFonts w:ascii="Times New Roman" w:hAnsi="Times New Roman"/>
          <w:sz w:val="24"/>
          <w:szCs w:val="24"/>
        </w:rPr>
      </w:pPr>
      <w:r>
        <w:rPr>
          <w:rFonts w:ascii="Times New Roman" w:hAnsi="Times New Roman"/>
          <w:sz w:val="24"/>
          <w:szCs w:val="24"/>
        </w:rPr>
        <w:t>We use a lagrangian transport model HYSPLIT using meteorological fields from National Center for Environmental Prediction (NCEP) (2.5</w:t>
      </w:r>
      <w:r>
        <w:rPr>
          <w:rFonts w:ascii="Times New Roman" w:hAnsi="Times New Roman"/>
          <w:sz w:val="24"/>
          <w:szCs w:val="24"/>
          <w:vertAlign w:val="superscript"/>
        </w:rPr>
        <w:t>0</w:t>
      </w:r>
      <w:r>
        <w:rPr>
          <w:rFonts w:ascii="Times New Roman" w:hAnsi="Times New Roman"/>
          <w:sz w:val="24"/>
          <w:szCs w:val="24"/>
        </w:rPr>
        <w:t xml:space="preserve"> latitude-longitude grids) to generate 15 days backward trajectories on daily basis at 500m above the ground level [agl] during the period 2000–2019 at 4 locations which are representative of the different Arctic regions: Greenland, Boreal Forest, Coastal Tundra and Central Arctic. Both meteorological dataset has been used widely in a number of studies concerned with the airmass transport, and are able to capture the meteorological variability in Arctic region reasonably well.</w:t>
      </w:r>
      <w:r>
        <w:rPr>
          <w:rFonts w:ascii="Times New Roman" w:hAnsi="Times New Roman"/>
          <w:sz w:val="24"/>
          <w:szCs w:val="24"/>
          <w:vertAlign w:val="superscript"/>
        </w:rPr>
        <w:t xml:space="preserve"> </w:t>
      </w:r>
      <w:r>
        <w:rPr>
          <w:rFonts w:ascii="Times New Roman" w:hAnsi="Times New Roman"/>
          <w:sz w:val="24"/>
          <w:szCs w:val="24"/>
        </w:rPr>
        <w:t>Generated backward trajectories has been discretised to 1</w:t>
      </w:r>
      <w:r>
        <w:rPr>
          <w:rFonts w:ascii="Times New Roman" w:hAnsi="Times New Roman"/>
          <w:sz w:val="24"/>
          <w:szCs w:val="24"/>
          <w:vertAlign w:val="superscript"/>
        </w:rPr>
        <w:t>0</w:t>
      </w:r>
      <w:r>
        <w:rPr>
          <w:rFonts w:ascii="Times New Roman" w:hAnsi="Times New Roman"/>
          <w:sz w:val="24"/>
          <w:szCs w:val="24"/>
        </w:rPr>
        <w:t xml:space="preserve"> x 1</w:t>
      </w:r>
      <w:r>
        <w:rPr>
          <w:rFonts w:ascii="Times New Roman" w:hAnsi="Times New Roman"/>
          <w:sz w:val="24"/>
          <w:szCs w:val="24"/>
          <w:vertAlign w:val="superscript"/>
        </w:rPr>
        <w:t>0</w:t>
      </w:r>
      <w:r>
        <w:rPr>
          <w:rFonts w:ascii="Times New Roman" w:hAnsi="Times New Roman"/>
          <w:sz w:val="24"/>
          <w:szCs w:val="24"/>
        </w:rPr>
        <w:t xml:space="preserve"> latitude-longitude grids. The study of the correlation between the concentration at a measurement site and the backtrajectories gives much better informations about where the source might be located along the path of the trajectory. In this study we use one such method: Potential source contribution function (PSCF).</w:t>
      </w:r>
    </w:p>
    <w:p>
      <w:pPr>
        <w:pStyle w:val="Heading3"/>
        <w:bidi w:val="0"/>
        <w:jc w:val="both"/>
        <w:rPr>
          <w:rFonts w:ascii="Times New Roman" w:hAnsi="Times New Roman"/>
          <w:sz w:val="24"/>
          <w:szCs w:val="24"/>
        </w:rPr>
      </w:pPr>
      <w:bookmarkStart w:id="1" w:name="backward-trajectory-clustering"/>
      <w:r>
        <w:rPr>
          <w:rFonts w:ascii="Times New Roman" w:hAnsi="Times New Roman"/>
          <w:sz w:val="24"/>
          <w:szCs w:val="24"/>
        </w:rPr>
        <w:t>Backward Trajectory clustering</w:t>
      </w:r>
      <w:bookmarkEnd w:id="1"/>
    </w:p>
    <w:p>
      <w:pPr>
        <w:pStyle w:val="FirstParagraph"/>
        <w:bidi w:val="0"/>
        <w:jc w:val="both"/>
        <w:rPr/>
      </w:pPr>
      <w:r>
        <w:rPr>
          <w:rFonts w:ascii="Times New Roman" w:hAnsi="Times New Roman"/>
          <w:sz w:val="24"/>
          <w:szCs w:val="24"/>
        </w:rPr>
        <w:t>A number of studies has proved the superiority of frequecy based trajectory representation (discrete fourier transform (DFT) and discrete wavelet transform (DWT)-based coefficents) over other approximation like least-square based polynomial approximations and Chebyshev approximation.</w:t>
      </w:r>
      <w:hyperlink w:anchor="ref-Naftel2006">
        <w:r>
          <w:rPr>
            <w:rStyle w:val="InternetLink"/>
            <w:rFonts w:ascii="Times New Roman" w:hAnsi="Times New Roman"/>
            <w:sz w:val="24"/>
            <w:szCs w:val="24"/>
            <w:vertAlign w:val="superscript"/>
          </w:rPr>
          <w:t>15</w:t>
        </w:r>
      </w:hyperlink>
      <w:r>
        <w:rPr>
          <w:rFonts w:ascii="Times New Roman" w:hAnsi="Times New Roman"/>
          <w:sz w:val="24"/>
          <w:szCs w:val="24"/>
          <w:vertAlign w:val="superscript"/>
        </w:rPr>
        <w:t>,</w:t>
      </w:r>
      <w:hyperlink w:anchor="ref-Guo2017">
        <w:r>
          <w:rPr>
            <w:rStyle w:val="InternetLink"/>
            <w:rFonts w:ascii="Times New Roman" w:hAnsi="Times New Roman"/>
            <w:sz w:val="24"/>
            <w:szCs w:val="24"/>
            <w:vertAlign w:val="superscript"/>
          </w:rPr>
          <w:t>16</w:t>
        </w:r>
      </w:hyperlink>
      <w:r>
        <w:rPr>
          <w:rFonts w:ascii="Times New Roman" w:hAnsi="Times New Roman"/>
          <w:sz w:val="24"/>
          <w:szCs w:val="24"/>
        </w:rPr>
        <w:t xml:space="preserve"> We cluster trajectories with K-Means clustering using non-parametric features extracted from discrete wavelet transform (DWT) based decomposition of projected backward trajectories which encode the time-varying information of the trajectories. We use Haar wavelets to capture local variations in trajectories using the single-level implementation of Mallat’s algorithm for computing the DWT coefficients. We build a feature vector comprising of derived approximation DWT coefficients as follows:</w:t>
      </w:r>
      <w:hyperlink w:anchor="ref-Nawaz2014">
        <w:r>
          <w:rPr>
            <w:rStyle w:val="InternetLink"/>
            <w:rFonts w:ascii="Times New Roman" w:hAnsi="Times New Roman"/>
            <w:sz w:val="24"/>
            <w:szCs w:val="24"/>
            <w:vertAlign w:val="superscript"/>
          </w:rPr>
          <w:t>17</w:t>
        </w:r>
      </w:hyperlink>
    </w:p>
    <w:p>
      <w:pPr>
        <w:pStyle w:val="TextBody"/>
        <w:bidi w:val="0"/>
        <w:jc w:val="center"/>
        <w:rPr>
          <w:rFonts w:ascii="Times New Roman" w:hAnsi="Times New Roman"/>
          <w:sz w:val="24"/>
          <w:szCs w:val="24"/>
        </w:rPr>
      </w:pPr>
      <w:bookmarkStart w:id="2" w:name="eq%253Afi"/>
      <w:r>
        <w:rPr>
          <w:rFonts w:ascii="Times New Roman" w:hAnsi="Times New Roman"/>
          <w:sz w:val="24"/>
          <w:szCs w:val="24"/>
        </w:rPr>
      </w:r>
      <m:oMath xmlns:m="http://schemas.openxmlformats.org/officeDocument/2006/math">
        <m:sSub>
          <m:e>
            <m:r>
              <m:t xml:space="preserve">f</m:t>
            </m:r>
          </m:e>
          <m:sub>
            <m:r>
              <m:t xml:space="preserve">i</m:t>
            </m:r>
          </m:sub>
        </m:sSub>
        <m:r>
          <m:t xml:space="preserve">=</m:t>
        </m:r>
        <m:d>
          <m:dPr>
            <m:begChr m:val="("/>
            <m:endChr m:val=")"/>
          </m:dPr>
          <m:e>
            <m:sSup>
              <m:e>
                <m:r>
                  <m:t xml:space="preserve">f</m:t>
                </m:r>
              </m:e>
              <m:sup>
                <m:sSub>
                  <m:e>
                    <m:r>
                      <m:t xml:space="preserve">x</m:t>
                    </m:r>
                  </m:e>
                  <m:sub>
                    <m:r>
                      <m:t xml:space="preserve">i</m:t>
                    </m:r>
                  </m:sub>
                </m:sSub>
              </m:sup>
            </m:sSup>
            <m:r>
              <m:t xml:space="preserve">,</m:t>
            </m:r>
            <m:sSup>
              <m:e>
                <m:r>
                  <m:t xml:space="preserve">f</m:t>
                </m:r>
              </m:e>
              <m:sup>
                <m:sSub>
                  <m:e>
                    <m:r>
                      <m:t xml:space="preserve">y</m:t>
                    </m:r>
                  </m:e>
                  <m:sub>
                    <m:r>
                      <m:t xml:space="preserve">i</m:t>
                    </m:r>
                  </m:sub>
                </m:sSub>
              </m:sup>
            </m:sSup>
          </m:e>
        </m:d>
        <m:d>
          <m:dPr>
            <m:begChr m:val="("/>
            <m:endChr m:val=")"/>
          </m:dPr>
          <m:e>
            <m:r>
              <m:t xml:space="preserve">1</m:t>
            </m:r>
          </m:e>
        </m:d>
      </m:oMath>
      <w:bookmarkEnd w:id="2"/>
    </w:p>
    <w:p>
      <w:pPr>
        <w:pStyle w:val="FirstParagraph"/>
        <w:bidi w:val="0"/>
        <w:jc w:val="both"/>
        <w:rPr>
          <w:rFonts w:ascii="Times New Roman" w:hAnsi="Times New Roman"/>
          <w:sz w:val="24"/>
          <w:szCs w:val="24"/>
        </w:rPr>
      </w:pPr>
      <w:r>
        <w:rPr>
          <w:rFonts w:ascii="Times New Roman" w:hAnsi="Times New Roman"/>
          <w:sz w:val="24"/>
          <w:szCs w:val="24"/>
        </w:rPr>
        <w:t>where</w:t>
      </w:r>
    </w:p>
    <w:p>
      <w:pPr>
        <w:pStyle w:val="TextBody"/>
        <w:bidi w:val="0"/>
        <w:jc w:val="center"/>
        <w:rPr>
          <w:rFonts w:ascii="Times New Roman" w:hAnsi="Times New Roman"/>
          <w:sz w:val="24"/>
          <w:szCs w:val="24"/>
        </w:rPr>
      </w:pPr>
      <w:bookmarkStart w:id="3" w:name="eq%253Afx"/>
      <w:r>
        <w:rPr>
          <w:rFonts w:ascii="Times New Roman" w:hAnsi="Times New Roman"/>
          <w:sz w:val="24"/>
          <w:szCs w:val="24"/>
        </w:rPr>
      </w:r>
      <m:oMath xmlns:m="http://schemas.openxmlformats.org/officeDocument/2006/math">
        <m:sSup>
          <m:e>
            <m:r>
              <m:t xml:space="preserve">f</m:t>
            </m:r>
          </m:e>
          <m:sup>
            <m:sSub>
              <m:e>
                <m:r>
                  <m:t xml:space="preserve">x</m:t>
                </m:r>
              </m:e>
              <m:sub>
                <m:r>
                  <m:t xml:space="preserve">i</m:t>
                </m:r>
              </m:sub>
            </m:sSub>
          </m:sup>
        </m:sSup>
        <m:r>
          <m:t xml:space="preserve">=</m:t>
        </m:r>
        <m:d>
          <m:dPr>
            <m:begChr m:val="("/>
            <m:endChr m:val=")"/>
          </m:dPr>
          <m:e>
            <m:sSubSup>
              <m:e>
                <m:r>
                  <m:t xml:space="preserve">C</m:t>
                </m:r>
              </m:e>
              <m:sub>
                <m:r>
                  <m:t xml:space="preserve">m</m:t>
                </m:r>
                <m:r>
                  <m:t xml:space="preserve">i</m:t>
                </m:r>
                <m:r>
                  <m:t xml:space="preserve">n</m:t>
                </m:r>
              </m:sub>
              <m:sup>
                <m:sSub>
                  <m:e>
                    <m:r>
                      <m:t xml:space="preserve">x</m:t>
                    </m:r>
                  </m:e>
                  <m:sub>
                    <m:r>
                      <m:t xml:space="preserve">i</m:t>
                    </m:r>
                  </m:sub>
                </m:sSub>
              </m:sup>
            </m:sSubSup>
            <m:r>
              <m:t xml:space="preserve">,</m:t>
            </m:r>
            <m:sSubSup>
              <m:e>
                <m:r>
                  <m:t xml:space="preserve">C</m:t>
                </m:r>
              </m:e>
              <m:sub>
                <m:r>
                  <m:t xml:space="preserve">25</m:t>
                </m:r>
              </m:sub>
              <m:sup>
                <m:sSub>
                  <m:e>
                    <m:r>
                      <m:t xml:space="preserve">x</m:t>
                    </m:r>
                  </m:e>
                  <m:sub>
                    <m:r>
                      <m:t xml:space="preserve">i</m:t>
                    </m:r>
                  </m:sub>
                </m:sSub>
              </m:sup>
            </m:sSubSup>
            <m:r>
              <m:t xml:space="preserve">,</m:t>
            </m:r>
            <m:sSubSup>
              <m:e>
                <m:r>
                  <m:t xml:space="preserve">C</m:t>
                </m:r>
              </m:e>
              <m:sub>
                <m:r>
                  <m:t xml:space="preserve">50</m:t>
                </m:r>
              </m:sub>
              <m:sup>
                <m:sSub>
                  <m:e>
                    <m:r>
                      <m:t xml:space="preserve">x</m:t>
                    </m:r>
                  </m:e>
                  <m:sub>
                    <m:r>
                      <m:t xml:space="preserve">i</m:t>
                    </m:r>
                  </m:sub>
                </m:sSub>
              </m:sup>
            </m:sSubSup>
            <m:r>
              <m:t xml:space="preserve">,</m:t>
            </m:r>
            <m:sSubSup>
              <m:e>
                <m:r>
                  <m:t xml:space="preserve">C</m:t>
                </m:r>
              </m:e>
              <m:sub>
                <m:r>
                  <m:t xml:space="preserve">75</m:t>
                </m:r>
              </m:sub>
              <m:sup>
                <m:sSub>
                  <m:e>
                    <m:r>
                      <m:t xml:space="preserve">x</m:t>
                    </m:r>
                  </m:e>
                  <m:sub>
                    <m:r>
                      <m:t xml:space="preserve">i</m:t>
                    </m:r>
                  </m:sub>
                </m:sSub>
              </m:sup>
            </m:sSubSup>
            <m:r>
              <m:t xml:space="preserve">,</m:t>
            </m:r>
            <m:sSubSup>
              <m:e>
                <m:r>
                  <m:t xml:space="preserve">C</m:t>
                </m:r>
              </m:e>
              <m:sub>
                <m:r>
                  <m:t xml:space="preserve">m</m:t>
                </m:r>
                <m:r>
                  <m:t xml:space="preserve">a</m:t>
                </m:r>
                <m:r>
                  <m:t xml:space="preserve">x</m:t>
                </m:r>
              </m:sub>
              <m:sup>
                <m:sSub>
                  <m:e>
                    <m:r>
                      <m:t xml:space="preserve">x</m:t>
                    </m:r>
                  </m:e>
                  <m:sub>
                    <m:r>
                      <m:t xml:space="preserve">i</m:t>
                    </m:r>
                  </m:sub>
                </m:sSub>
              </m:sup>
            </m:sSubSup>
          </m:e>
        </m:d>
        <m:d>
          <m:dPr>
            <m:begChr m:val="("/>
            <m:endChr m:val=")"/>
          </m:dPr>
          <m:e>
            <m:r>
              <m:t xml:space="preserve">2</m:t>
            </m:r>
          </m:e>
        </m:d>
      </m:oMath>
      <w:bookmarkEnd w:id="3"/>
    </w:p>
    <w:p>
      <w:pPr>
        <w:pStyle w:val="FirstParagraph"/>
        <w:bidi w:val="0"/>
        <w:jc w:val="both"/>
        <w:rPr>
          <w:rFonts w:ascii="Times New Roman" w:hAnsi="Times New Roman"/>
          <w:sz w:val="24"/>
          <w:szCs w:val="24"/>
        </w:rPr>
      </w:pPr>
      <w:r>
        <w:rPr>
          <w:rFonts w:ascii="Times New Roman" w:hAnsi="Times New Roman"/>
          <w:sz w:val="24"/>
          <w:szCs w:val="24"/>
        </w:rPr>
        <w:t>f</w:t>
      </w:r>
      <w:r>
        <w:rPr>
          <w:rFonts w:ascii="Times New Roman" w:hAnsi="Times New Roman"/>
          <w:sz w:val="24"/>
          <w:szCs w:val="24"/>
          <w:vertAlign w:val="subscript"/>
        </w:rPr>
        <w:t>i</w:t>
      </w:r>
      <w:r>
        <w:rPr>
          <w:rFonts w:ascii="Times New Roman" w:hAnsi="Times New Roman"/>
          <w:sz w:val="24"/>
          <w:szCs w:val="24"/>
        </w:rPr>
        <w:t xml:space="preserve"> provides comprehensive description of trajectories as it captures the overall distribution of coefficients non-parametrically. This approach does not require the trajectories to have equal length.</w:t>
      </w:r>
    </w:p>
    <w:p>
      <w:pPr>
        <w:pStyle w:val="TextBody"/>
        <w:bidi w:val="0"/>
        <w:jc w:val="both"/>
        <w:rPr/>
      </w:pPr>
      <w:r>
        <w:rPr>
          <w:rFonts w:ascii="Times New Roman" w:hAnsi="Times New Roman"/>
          <w:sz w:val="24"/>
          <w:szCs w:val="24"/>
        </w:rPr>
        <w:t>We apply elbow criterion to determine the optimum number of clusters.</w:t>
      </w:r>
      <w:hyperlink w:anchor="ref-Novikov2019">
        <w:r>
          <w:rPr>
            <w:rStyle w:val="InternetLink"/>
            <w:rFonts w:ascii="Times New Roman" w:hAnsi="Times New Roman"/>
            <w:sz w:val="24"/>
            <w:szCs w:val="24"/>
            <w:vertAlign w:val="superscript"/>
          </w:rPr>
          <w:t>18</w:t>
        </w:r>
      </w:hyperlink>
      <w:r>
        <w:rPr>
          <w:rFonts w:ascii="Times New Roman" w:hAnsi="Times New Roman"/>
          <w:sz w:val="24"/>
          <w:szCs w:val="24"/>
        </w:rPr>
        <w:t xml:space="preserve"> This heuristic method parameterizes the percentage of explained variance as a function of cluster count and chooses a number of clusters in such a way that adding another cluster doesn’t incrase the explained variance. Explained variance (exvar) which is equivalent to the R-squared value in classical regression is given as</w:t>
      </w:r>
      <w:hyperlink w:anchor="ref-Shao2007">
        <w:r>
          <w:rPr>
            <w:rStyle w:val="InternetLink"/>
            <w:rFonts w:ascii="Times New Roman" w:hAnsi="Times New Roman"/>
            <w:sz w:val="24"/>
            <w:szCs w:val="24"/>
            <w:vertAlign w:val="superscript"/>
          </w:rPr>
          <w:t>19</w:t>
        </w:r>
      </w:hyperlink>
      <w:r>
        <w:rPr>
          <w:rFonts w:ascii="Times New Roman" w:hAnsi="Times New Roman"/>
          <w:sz w:val="24"/>
          <w:szCs w:val="24"/>
        </w:rPr>
        <w:t xml:space="preserve"> :</w:t>
      </w:r>
    </w:p>
    <w:p>
      <w:pPr>
        <w:pStyle w:val="TextBody"/>
        <w:bidi w:val="0"/>
        <w:jc w:val="center"/>
        <w:rPr>
          <w:rFonts w:ascii="Times New Roman" w:hAnsi="Times New Roman"/>
          <w:sz w:val="24"/>
          <w:szCs w:val="24"/>
        </w:rPr>
      </w:pPr>
      <w:bookmarkStart w:id="4" w:name="eq%253Aexvar"/>
      <w:r>
        <w:rPr>
          <w:rFonts w:ascii="Times New Roman" w:hAnsi="Times New Roman"/>
          <w:sz w:val="24"/>
          <w:szCs w:val="24"/>
        </w:rPr>
      </w:r>
      <m:oMath xmlns:m="http://schemas.openxmlformats.org/officeDocument/2006/math">
        <m:r>
          <m:t xml:space="preserve">exvar</m:t>
        </m:r>
        <m:r>
          <m:t xml:space="preserve">=</m:t>
        </m:r>
        <m:f>
          <m:num>
            <m:r>
              <m:t xml:space="preserve">SSR</m:t>
            </m:r>
          </m:num>
          <m:den>
            <m:r>
              <m:t xml:space="preserve">SST</m:t>
            </m:r>
          </m:den>
        </m:f>
        <m:d>
          <m:dPr>
            <m:begChr m:val="("/>
            <m:endChr m:val=")"/>
          </m:dPr>
          <m:e>
            <m:r>
              <m:t xml:space="preserve">3</m:t>
            </m:r>
          </m:e>
        </m:d>
      </m:oMath>
      <w:bookmarkEnd w:id="4"/>
    </w:p>
    <w:p>
      <w:pPr>
        <w:pStyle w:val="FirstParagraph"/>
        <w:bidi w:val="0"/>
        <w:jc w:val="both"/>
        <w:rPr>
          <w:rFonts w:ascii="Times New Roman" w:hAnsi="Times New Roman"/>
          <w:sz w:val="24"/>
          <w:szCs w:val="24"/>
        </w:rPr>
      </w:pPr>
      <w:r>
        <w:rPr>
          <w:rFonts w:ascii="Times New Roman" w:hAnsi="Times New Roman"/>
          <w:sz w:val="24"/>
          <w:szCs w:val="24"/>
        </w:rPr>
        <w:t>where SSR is the sum of squares regression (or explained variation) from each cluster (summed over all clusters) and SST is the total sum of squares. We use the mean of trajectories in a cluster to represent that trajectory cluster.</w:t>
      </w:r>
    </w:p>
    <w:p>
      <w:pPr>
        <w:pStyle w:val="Heading3"/>
        <w:bidi w:val="0"/>
        <w:jc w:val="both"/>
        <w:rPr>
          <w:rFonts w:ascii="Times New Roman" w:hAnsi="Times New Roman"/>
          <w:sz w:val="24"/>
          <w:szCs w:val="24"/>
        </w:rPr>
      </w:pPr>
      <w:bookmarkStart w:id="5" w:name="Xd3b14aa884c0bf3a0700dc5c64145f5ea86f3f6"/>
      <w:r>
        <w:rPr>
          <w:rFonts w:ascii="Times New Roman" w:hAnsi="Times New Roman"/>
          <w:sz w:val="24"/>
          <w:szCs w:val="24"/>
        </w:rPr>
        <w:t>Potential source contribution function (PSCF)</w:t>
      </w:r>
      <w:bookmarkEnd w:id="5"/>
    </w:p>
    <w:p>
      <w:pPr>
        <w:pStyle w:val="FirstParagraph"/>
        <w:bidi w:val="0"/>
        <w:jc w:val="both"/>
        <w:rPr/>
      </w:pPr>
      <w:r>
        <w:rPr>
          <w:rFonts w:ascii="Times New Roman" w:hAnsi="Times New Roman"/>
          <w:sz w:val="24"/>
          <w:szCs w:val="24"/>
        </w:rPr>
        <w:t>PSCF is a backward trajectories receptor model which can be used for the determination of potential source areas of ozone at a receptor.</w:t>
      </w:r>
      <w:hyperlink w:anchor="ref-Ashima2017">
        <w:r>
          <w:rPr>
            <w:rStyle w:val="InternetLink"/>
            <w:rFonts w:ascii="Times New Roman" w:hAnsi="Times New Roman"/>
            <w:sz w:val="24"/>
            <w:szCs w:val="24"/>
            <w:vertAlign w:val="superscript"/>
          </w:rPr>
          <w:t>20</w:t>
        </w:r>
      </w:hyperlink>
      <w:r>
        <w:rPr>
          <w:rFonts w:ascii="Times New Roman" w:hAnsi="Times New Roman"/>
          <w:sz w:val="24"/>
          <w:szCs w:val="24"/>
          <w:vertAlign w:val="superscript"/>
        </w:rPr>
        <w:t>–</w:t>
      </w:r>
      <w:hyperlink w:anchor="ref-Cristofanelli2018">
        <w:r>
          <w:rPr>
            <w:rStyle w:val="InternetLink"/>
            <w:rFonts w:ascii="Times New Roman" w:hAnsi="Times New Roman"/>
            <w:sz w:val="24"/>
            <w:szCs w:val="24"/>
            <w:vertAlign w:val="superscript"/>
          </w:rPr>
          <w:t>22</w:t>
        </w:r>
      </w:hyperlink>
      <w:r>
        <w:rPr>
          <w:rFonts w:ascii="Times New Roman" w:hAnsi="Times New Roman"/>
          <w:sz w:val="24"/>
          <w:szCs w:val="24"/>
        </w:rPr>
        <w:t xml:space="preserve"> It is defined as the conditional probability of an air parcel that crosses a cell have ozone concentration higher than a threshold amount given that the trajectory has pass through the cell under consideration. If n</w:t>
      </w:r>
      <w:r>
        <w:rPr>
          <w:rFonts w:ascii="Times New Roman" w:hAnsi="Times New Roman"/>
          <w:sz w:val="24"/>
          <w:szCs w:val="24"/>
          <w:vertAlign w:val="subscript"/>
        </w:rPr>
        <w:t>ij</w:t>
      </w:r>
      <w:r>
        <w:rPr>
          <w:rFonts w:ascii="Times New Roman" w:hAnsi="Times New Roman"/>
          <w:sz w:val="24"/>
          <w:szCs w:val="24"/>
        </w:rPr>
        <w:t xml:space="preserve"> is the number of trajectory endpoints in a cell ij and m</w:t>
      </w:r>
      <w:r>
        <w:rPr>
          <w:rFonts w:ascii="Times New Roman" w:hAnsi="Times New Roman"/>
          <w:sz w:val="24"/>
          <w:szCs w:val="24"/>
          <w:vertAlign w:val="subscript"/>
        </w:rPr>
        <w:t>ij</w:t>
      </w:r>
      <w:r>
        <w:rPr>
          <w:rFonts w:ascii="Times New Roman" w:hAnsi="Times New Roman"/>
          <w:sz w:val="24"/>
          <w:szCs w:val="24"/>
        </w:rPr>
        <w:t xml:space="preserve"> is the number of endpoints which correspond to trajectories with ozone concentration higher than the threshold value at the receptor location, then</w:t>
      </w:r>
    </w:p>
    <w:p>
      <w:pPr>
        <w:pStyle w:val="TextBody"/>
        <w:bidi w:val="0"/>
        <w:jc w:val="center"/>
        <w:rPr>
          <w:rFonts w:ascii="Times New Roman" w:hAnsi="Times New Roman"/>
          <w:sz w:val="24"/>
          <w:szCs w:val="24"/>
        </w:rPr>
      </w:pPr>
      <w:bookmarkStart w:id="6" w:name="eq%253Apscf"/>
      <w:r>
        <w:rPr>
          <w:rFonts w:ascii="Times New Roman" w:hAnsi="Times New Roman"/>
          <w:sz w:val="24"/>
          <w:szCs w:val="24"/>
        </w:rPr>
      </w:r>
      <m:oMath xmlns:m="http://schemas.openxmlformats.org/officeDocument/2006/math">
        <m:sSub>
          <m:e>
            <m:r>
              <m:t xml:space="preserve">PSCF</m:t>
            </m:r>
          </m:e>
          <m:sub>
            <m:r>
              <m:t xml:space="preserve">i</m:t>
            </m:r>
            <m:r>
              <m:t xml:space="preserve">j</m:t>
            </m:r>
          </m:sub>
        </m:sSub>
        <m:r>
          <m:t xml:space="preserve">=</m:t>
        </m:r>
        <m:r>
          <m:t xml:space="preserve">P</m:t>
        </m:r>
        <m:d>
          <m:dPr>
            <m:begChr m:val="("/>
            <m:endChr m:val=")"/>
          </m:dPr>
          <m:e>
            <m:sSub>
              <m:e>
                <m:r>
                  <m:t xml:space="preserve">C</m:t>
                </m:r>
              </m:e>
              <m:sub>
                <m:r>
                  <m:t xml:space="preserve">R</m:t>
                </m:r>
              </m:sub>
            </m:sSub>
            <m:r>
              <m:t xml:space="preserve">&gt;</m:t>
            </m:r>
            <m:sSub>
              <m:e>
                <m:r>
                  <m:t xml:space="preserve">C</m:t>
                </m:r>
              </m:e>
              <m:sub>
                <m:r>
                  <m:t xml:space="preserve">th</m:t>
                </m:r>
              </m:sub>
            </m:sSub>
            <m:r>
              <m:t xml:space="preserve">∨</m:t>
            </m:r>
            <m:sSub>
              <m:e>
                <m:r>
                  <m:t xml:space="preserve">E</m:t>
                </m:r>
              </m:e>
              <m:sub>
                <m:r>
                  <m:t xml:space="preserve">i</m:t>
                </m:r>
                <m:r>
                  <m:t xml:space="preserve">j</m:t>
                </m:r>
              </m:sub>
            </m:sSub>
          </m:e>
        </m:d>
        <m:r>
          <m:t xml:space="preserve">=</m:t>
        </m:r>
        <m:f>
          <m:num>
            <m:sSub>
              <m:e>
                <m:r>
                  <m:t xml:space="preserve">m</m:t>
                </m:r>
              </m:e>
              <m:sub>
                <m:r>
                  <m:t xml:space="preserve">i</m:t>
                </m:r>
                <m:r>
                  <m:t xml:space="preserve">j</m:t>
                </m:r>
              </m:sub>
            </m:sSub>
          </m:num>
          <m:den>
            <m:sSub>
              <m:e>
                <m:r>
                  <m:t xml:space="preserve">n</m:t>
                </m:r>
              </m:e>
              <m:sub>
                <m:r>
                  <m:t xml:space="preserve">i</m:t>
                </m:r>
                <m:r>
                  <m:t xml:space="preserve">j</m:t>
                </m:r>
              </m:sub>
            </m:sSub>
          </m:den>
        </m:f>
        <m:d>
          <m:dPr>
            <m:begChr m:val="("/>
            <m:endChr m:val=")"/>
          </m:dPr>
          <m:e>
            <m:r>
              <m:t xml:space="preserve">4</m:t>
            </m:r>
          </m:e>
        </m:d>
      </m:oMath>
      <w:bookmarkEnd w:id="6"/>
    </w:p>
    <w:p>
      <w:pPr>
        <w:pStyle w:val="FirstParagraph"/>
        <w:bidi w:val="0"/>
        <w:jc w:val="both"/>
        <w:rPr>
          <w:rFonts w:ascii="Times New Roman" w:hAnsi="Times New Roman"/>
          <w:sz w:val="24"/>
          <w:szCs w:val="24"/>
        </w:rPr>
      </w:pPr>
      <w:r>
        <w:rPr>
          <w:rFonts w:ascii="Times New Roman" w:hAnsi="Times New Roman"/>
          <w:sz w:val="24"/>
          <w:szCs w:val="24"/>
        </w:rPr>
        <w:t>where E</w:t>
      </w:r>
      <w:r>
        <w:rPr>
          <w:rFonts w:ascii="Times New Roman" w:hAnsi="Times New Roman"/>
          <w:sz w:val="24"/>
          <w:szCs w:val="24"/>
          <w:vertAlign w:val="subscript"/>
        </w:rPr>
        <w:t>ij</w:t>
      </w:r>
      <w:r>
        <w:rPr>
          <w:rFonts w:ascii="Times New Roman" w:hAnsi="Times New Roman"/>
          <w:sz w:val="24"/>
          <w:szCs w:val="24"/>
        </w:rPr>
        <w:t xml:space="preserve"> is the event of an end point occurring in a cell ij, C</w:t>
      </w:r>
      <w:r>
        <w:rPr>
          <w:rFonts w:ascii="Times New Roman" w:hAnsi="Times New Roman"/>
          <w:sz w:val="24"/>
          <w:szCs w:val="24"/>
          <w:vertAlign w:val="subscript"/>
        </w:rPr>
        <w:t>R</w:t>
      </w:r>
      <w:r>
        <w:rPr>
          <w:rFonts w:ascii="Times New Roman" w:hAnsi="Times New Roman"/>
          <w:sz w:val="24"/>
          <w:szCs w:val="24"/>
        </w:rPr>
        <w:t xml:space="preserve"> is the ozone concentration at the receptor and C</w:t>
      </w:r>
      <w:r>
        <w:rPr>
          <w:rFonts w:ascii="Times New Roman" w:hAnsi="Times New Roman"/>
          <w:sz w:val="24"/>
          <w:szCs w:val="24"/>
          <w:vertAlign w:val="subscript"/>
        </w:rPr>
        <w:t>th</w:t>
      </w:r>
      <w:r>
        <w:rPr>
          <w:rFonts w:ascii="Times New Roman" w:hAnsi="Times New Roman"/>
          <w:sz w:val="24"/>
          <w:szCs w:val="24"/>
        </w:rPr>
        <w:t xml:space="preserve"> is the threshold ozone concentration for determining the pollution event.</w:t>
      </w:r>
    </w:p>
    <w:p>
      <w:pPr>
        <w:pStyle w:val="TextBody"/>
        <w:bidi w:val="0"/>
        <w:jc w:val="both"/>
        <w:rPr>
          <w:rFonts w:ascii="Times New Roman" w:hAnsi="Times New Roman"/>
          <w:sz w:val="24"/>
          <w:szCs w:val="24"/>
        </w:rPr>
      </w:pPr>
      <w:r>
        <w:rPr>
          <w:rFonts w:ascii="Times New Roman" w:hAnsi="Times New Roman"/>
          <w:sz w:val="24"/>
          <w:szCs w:val="24"/>
        </w:rPr>
        <w:t>Grid cells with high PSCF values are associated with the arrival of air parcels at the receptor site that have concentrations of the analyte higher than the criterian value. These cells are areas of high potential contributions for the constituent. In this study, the criterion value was set to the third quantile (75%) of the surface ozone concentration at the considered Arctic-based receptor location.</w:t>
      </w:r>
      <w:bookmarkStart w:id="7" w:name="eq%253Amsc"/>
      <w:bookmarkEnd w:id="7"/>
    </w:p>
    <w:p>
      <w:pPr>
        <w:pStyle w:val="Heading3"/>
        <w:bidi w:val="0"/>
        <w:jc w:val="both"/>
        <w:rPr>
          <w:rFonts w:ascii="Times New Roman" w:hAnsi="Times New Roman"/>
          <w:sz w:val="24"/>
          <w:szCs w:val="24"/>
        </w:rPr>
      </w:pPr>
      <w:bookmarkStart w:id="8" w:name="weight-function-for-pscf-and-cwt"/>
      <w:r>
        <w:rPr>
          <w:rFonts w:ascii="Times New Roman" w:hAnsi="Times New Roman"/>
          <w:sz w:val="24"/>
          <w:szCs w:val="24"/>
        </w:rPr>
        <w:t>Weight function for PSCF</w:t>
      </w:r>
      <w:bookmarkEnd w:id="8"/>
    </w:p>
    <w:p>
      <w:pPr>
        <w:pStyle w:val="FirstParagraph"/>
        <w:bidi w:val="0"/>
        <w:jc w:val="both"/>
        <w:rPr>
          <w:rFonts w:ascii="Times New Roman" w:hAnsi="Times New Roman"/>
          <w:sz w:val="24"/>
          <w:szCs w:val="24"/>
        </w:rPr>
      </w:pPr>
      <w:r>
        <w:rPr>
          <w:rFonts w:ascii="Times New Roman" w:hAnsi="Times New Roman"/>
          <w:sz w:val="24"/>
          <w:szCs w:val="24"/>
        </w:rPr>
        <w:t>We apply an arbitrary weight function to PSCF to reduce the uncertainties arising from small number of trajectory end points in a grid cell. The weight function is given as follows as</w:t>
      </w:r>
      <w:r>
        <w:rPr>
          <w:rFonts w:ascii="Times New Roman" w:hAnsi="Times New Roman"/>
          <w:sz w:val="24"/>
          <w:szCs w:val="24"/>
          <w:vertAlign w:val="superscript"/>
        </w:rPr>
        <w:t>23</w:t>
      </w:r>
      <w:r>
        <w:rPr>
          <w:rFonts w:ascii="Times New Roman" w:hAnsi="Times New Roman"/>
          <w:sz w:val="24"/>
          <w:szCs w:val="24"/>
        </w:rPr>
        <w:t xml:space="preserve"> :</w:t>
      </w:r>
    </w:p>
    <w:p>
      <w:pPr>
        <w:pStyle w:val="TextBody"/>
        <w:bidi w:val="0"/>
        <w:jc w:val="center"/>
        <w:rPr>
          <w:rFonts w:ascii="Times New Roman" w:hAnsi="Times New Roman"/>
          <w:sz w:val="24"/>
          <w:szCs w:val="24"/>
        </w:rPr>
      </w:pPr>
      <w:bookmarkStart w:id="9" w:name="eq%253Awt"/>
      <w:r>
        <w:rPr>
          <w:rFonts w:ascii="Times New Roman" w:hAnsi="Times New Roman"/>
          <w:sz w:val="24"/>
          <w:szCs w:val="24"/>
        </w:rPr>
      </w:r>
      <m:oMath xmlns:m="http://schemas.openxmlformats.org/officeDocument/2006/math">
        <m:r>
          <m:t xml:space="preserve">w</m:t>
        </m:r>
        <m:d>
          <m:dPr>
            <m:begChr m:val="("/>
            <m:endChr m:val=")"/>
          </m:dPr>
          <m:e>
            <m:sSub>
              <m:e>
                <m:r>
                  <m:t xml:space="preserve">n</m:t>
                </m:r>
              </m:e>
              <m:sub>
                <m:r>
                  <m:t xml:space="preserve">i</m:t>
                </m:r>
                <m:r>
                  <m:t xml:space="preserve">j</m:t>
                </m:r>
              </m:sub>
            </m:sSub>
          </m:e>
        </m:d>
        <m:r>
          <m:t xml:space="preserve">=</m:t>
        </m:r>
        <m:d>
          <m:dPr>
            <m:begChr m:val="{"/>
            <m:endChr m:val=""/>
          </m:dPr>
          <m:e>
            <m:m>
              <m:mr>
                <m:e>
                  <m:r>
                    <m:t xml:space="preserve">1.00</m:t>
                  </m:r>
                  <m:r>
                    <m:t xml:space="preserve">,</m:t>
                  </m:r>
                  <m:sSub>
                    <m:e>
                      <m:r>
                        <m:t xml:space="preserve">n</m:t>
                      </m:r>
                    </m:e>
                    <m:sub>
                      <m:r>
                        <m:t xml:space="preserve">i</m:t>
                      </m:r>
                      <m:r>
                        <m:t xml:space="preserve">j</m:t>
                      </m:r>
                    </m:sub>
                  </m:sSub>
                  <m:r>
                    <m:t xml:space="preserve">≥</m:t>
                  </m:r>
                  <m:r>
                    <m:t xml:space="preserve">2</m:t>
                  </m:r>
                  <m:r>
                    <m:t xml:space="preserve">N</m:t>
                  </m:r>
                </m:e>
              </m:mr>
              <m:mr>
                <m:e>
                  <m:r>
                    <m:t xml:space="preserve">0.75</m:t>
                  </m:r>
                  <m:r>
                    <m:t xml:space="preserve">,</m:t>
                  </m:r>
                  <m:r>
                    <m:t xml:space="preserve">N</m:t>
                  </m:r>
                  <m:r>
                    <m:t xml:space="preserve">≤</m:t>
                  </m:r>
                  <m:sSub>
                    <m:e>
                      <m:r>
                        <m:t xml:space="preserve">n</m:t>
                      </m:r>
                    </m:e>
                    <m:sub>
                      <m:r>
                        <m:t xml:space="preserve">i</m:t>
                      </m:r>
                      <m:r>
                        <m:t xml:space="preserve">j</m:t>
                      </m:r>
                    </m:sub>
                  </m:sSub>
                  <m:r>
                    <m:t xml:space="preserve">&lt;</m:t>
                  </m:r>
                  <m:r>
                    <m:t xml:space="preserve">2</m:t>
                  </m:r>
                  <m:r>
                    <m:t xml:space="preserve">N</m:t>
                  </m:r>
                </m:e>
              </m:mr>
              <m:mr>
                <m:e>
                  <m:r>
                    <m:t xml:space="preserve">0.50</m:t>
                  </m:r>
                  <m:r>
                    <m:t xml:space="preserve">,</m:t>
                  </m:r>
                  <m:r>
                    <m:t xml:space="preserve">0.5</m:t>
                  </m:r>
                  <m:r>
                    <m:t xml:space="preserve">N</m:t>
                  </m:r>
                  <m:r>
                    <m:t xml:space="preserve">≤</m:t>
                  </m:r>
                  <m:sSub>
                    <m:e>
                      <m:r>
                        <m:t xml:space="preserve">n</m:t>
                      </m:r>
                    </m:e>
                    <m:sub>
                      <m:r>
                        <m:t xml:space="preserve">i</m:t>
                      </m:r>
                      <m:r>
                        <m:t xml:space="preserve">j</m:t>
                      </m:r>
                    </m:sub>
                  </m:sSub>
                  <m:r>
                    <m:t xml:space="preserve">&lt;</m:t>
                  </m:r>
                  <m:r>
                    <m:t xml:space="preserve">N</m:t>
                  </m:r>
                </m:e>
              </m:mr>
              <m:mr>
                <m:e>
                  <m:r>
                    <m:t xml:space="preserve">0.25</m:t>
                  </m:r>
                  <m:r>
                    <m:t xml:space="preserve">,</m:t>
                  </m:r>
                  <m:sSub>
                    <m:e>
                      <m:r>
                        <m:t xml:space="preserve">n</m:t>
                      </m:r>
                    </m:e>
                    <m:sub>
                      <m:r>
                        <m:t xml:space="preserve">i</m:t>
                      </m:r>
                      <m:r>
                        <m:t xml:space="preserve">j</m:t>
                      </m:r>
                    </m:sub>
                  </m:sSub>
                  <m:r>
                    <m:t xml:space="preserve">&lt;</m:t>
                  </m:r>
                  <m:r>
                    <m:t xml:space="preserve">0.5</m:t>
                  </m:r>
                  <m:r>
                    <m:t xml:space="preserve">N</m:t>
                  </m:r>
                </m:e>
              </m:mr>
            </m:m>
          </m:e>
        </m:d>
        <m:d>
          <m:dPr>
            <m:begChr m:val="("/>
            <m:endChr m:val=")"/>
          </m:dPr>
          <m:e>
            <m:r>
              <m:t xml:space="preserve">5</m:t>
            </m:r>
          </m:e>
        </m:d>
      </m:oMath>
      <w:bookmarkEnd w:id="9"/>
    </w:p>
    <w:p>
      <w:pPr>
        <w:pStyle w:val="FirstParagraph"/>
        <w:bidi w:val="0"/>
        <w:jc w:val="both"/>
        <w:rPr>
          <w:rFonts w:ascii="Times New Roman" w:hAnsi="Times New Roman"/>
          <w:sz w:val="24"/>
          <w:szCs w:val="24"/>
        </w:rPr>
      </w:pPr>
      <w:r>
        <w:rPr>
          <w:rFonts w:ascii="Times New Roman" w:hAnsi="Times New Roman"/>
          <w:sz w:val="24"/>
          <w:szCs w:val="24"/>
        </w:rPr>
        <w:t>Here, n</w:t>
      </w:r>
      <w:r>
        <w:rPr>
          <w:rFonts w:ascii="Times New Roman" w:hAnsi="Times New Roman"/>
          <w:sz w:val="24"/>
          <w:szCs w:val="24"/>
          <w:vertAlign w:val="subscript"/>
        </w:rPr>
        <w:t>ij</w:t>
      </w:r>
      <w:r>
        <w:rPr>
          <w:rFonts w:ascii="Times New Roman" w:hAnsi="Times New Roman"/>
          <w:sz w:val="24"/>
          <w:szCs w:val="24"/>
        </w:rPr>
        <w:t xml:space="preserve"> is the number of end points in a grid cell ij and N is the average number of end points for the whole study region.</w:t>
      </w:r>
    </w:p>
    <w:p>
      <w:pPr>
        <w:pStyle w:val="TextBody"/>
        <w:bidi w:val="0"/>
        <w:jc w:val="both"/>
        <w:rPr>
          <w:rFonts w:ascii="Times New Roman" w:hAnsi="Times New Roman"/>
          <w:sz w:val="24"/>
          <w:szCs w:val="24"/>
        </w:rPr>
      </w:pPr>
      <w:r>
        <w:rPr>
          <w:rFonts w:ascii="Times New Roman" w:hAnsi="Times New Roman"/>
          <w:sz w:val="24"/>
          <w:szCs w:val="24"/>
        </w:rPr>
        <w:t>Weighted receptor models result in field gradient around the source region; aiding in the identification of the potential sources.</w:t>
      </w:r>
    </w:p>
    <w:p>
      <w:pPr>
        <w:pStyle w:val="Heading3"/>
        <w:bidi w:val="0"/>
        <w:jc w:val="both"/>
        <w:rPr>
          <w:rFonts w:ascii="Times New Roman" w:hAnsi="Times New Roman"/>
          <w:sz w:val="24"/>
          <w:szCs w:val="24"/>
        </w:rPr>
      </w:pPr>
      <w:bookmarkStart w:id="10" w:name="references"/>
      <w:r>
        <w:rPr>
          <w:rFonts w:ascii="Times New Roman" w:hAnsi="Times New Roman"/>
          <w:sz w:val="24"/>
          <w:szCs w:val="24"/>
        </w:rPr>
        <w:t>References</w:t>
      </w:r>
      <w:bookmarkEnd w:id="10"/>
    </w:p>
    <w:p>
      <w:pPr>
        <w:pStyle w:val="Bibliography"/>
        <w:bidi w:val="0"/>
        <w:jc w:val="both"/>
        <w:rPr>
          <w:rFonts w:ascii="Times New Roman" w:hAnsi="Times New Roman"/>
          <w:sz w:val="24"/>
          <w:szCs w:val="24"/>
        </w:rPr>
      </w:pPr>
      <w:r>
        <w:rPr>
          <w:rFonts w:ascii="Times New Roman" w:hAnsi="Times New Roman"/>
          <w:sz w:val="24"/>
          <w:szCs w:val="24"/>
        </w:rPr>
      </w:r>
    </w:p>
    <w:p>
      <w:pPr>
        <w:pStyle w:val="Bibliography"/>
        <w:bidi w:val="0"/>
        <w:jc w:val="both"/>
        <w:rPr>
          <w:rFonts w:ascii="Times New Roman" w:hAnsi="Times New Roman"/>
          <w:sz w:val="24"/>
          <w:szCs w:val="24"/>
        </w:rPr>
      </w:pPr>
      <w:r>
        <w:rPr>
          <w:rFonts w:ascii="Times New Roman" w:hAnsi="Times New Roman"/>
          <w:sz w:val="24"/>
          <w:szCs w:val="24"/>
        </w:rPr>
        <w:t>15. Naftel, A. &amp; Khalid, S. Motion Trajectory Learning in the DFT-Coefficient Feature Space. (2006).</w:t>
      </w:r>
      <w:bookmarkStart w:id="11" w:name="ref-Naftel2006"/>
      <w:bookmarkEnd w:id="11"/>
    </w:p>
    <w:p>
      <w:pPr>
        <w:pStyle w:val="Bibliography"/>
        <w:bidi w:val="0"/>
        <w:jc w:val="both"/>
        <w:rPr>
          <w:rFonts w:ascii="Times New Roman" w:hAnsi="Times New Roman"/>
          <w:sz w:val="24"/>
          <w:szCs w:val="24"/>
        </w:rPr>
      </w:pPr>
      <w:r>
        <w:rPr>
          <w:rFonts w:ascii="Times New Roman" w:hAnsi="Times New Roman"/>
          <w:sz w:val="24"/>
          <w:szCs w:val="24"/>
        </w:rPr>
        <w:t xml:space="preserve">16. Guo, Y., Xu, Q., Li, P., Sbert, M. &amp; Yang, Y. Trajectory Shape Analysis and Anomaly Detection Utilizing Information Theory Tools. </w:t>
      </w:r>
      <w:r>
        <w:rPr>
          <w:rFonts w:ascii="Times New Roman" w:hAnsi="Times New Roman"/>
          <w:i/>
          <w:sz w:val="24"/>
          <w:szCs w:val="24"/>
        </w:rPr>
        <w:t>Entropy</w:t>
      </w:r>
      <w:r>
        <w:rPr>
          <w:rFonts w:ascii="Times New Roman" w:hAnsi="Times New Roman"/>
          <w:sz w:val="24"/>
          <w:szCs w:val="24"/>
        </w:rPr>
        <w:t xml:space="preserve"> </w:t>
      </w:r>
      <w:r>
        <w:rPr>
          <w:rFonts w:ascii="Times New Roman" w:hAnsi="Times New Roman"/>
          <w:b/>
          <w:sz w:val="24"/>
          <w:szCs w:val="24"/>
        </w:rPr>
        <w:t>19</w:t>
      </w:r>
      <w:r>
        <w:rPr>
          <w:rFonts w:ascii="Times New Roman" w:hAnsi="Times New Roman"/>
          <w:sz w:val="24"/>
          <w:szCs w:val="24"/>
        </w:rPr>
        <w:t>, 323 (2017).</w:t>
      </w:r>
      <w:bookmarkStart w:id="12" w:name="ref-Guo2017"/>
      <w:bookmarkEnd w:id="12"/>
    </w:p>
    <w:p>
      <w:pPr>
        <w:pStyle w:val="Bibliography"/>
        <w:bidi w:val="0"/>
        <w:jc w:val="both"/>
        <w:rPr/>
      </w:pPr>
      <w:r>
        <w:rPr>
          <w:rFonts w:ascii="Times New Roman" w:hAnsi="Times New Roman"/>
          <w:sz w:val="24"/>
          <w:szCs w:val="24"/>
        </w:rPr>
        <w:t xml:space="preserve">17. Nawaz, T., Cavallaro, A. &amp; Rinner, B. Trajectory clustering for motion pattern extraction in aerial videos. in </w:t>
      </w:r>
      <w:r>
        <w:rPr>
          <w:rFonts w:ascii="Times New Roman" w:hAnsi="Times New Roman"/>
          <w:i/>
          <w:sz w:val="24"/>
          <w:szCs w:val="24"/>
        </w:rPr>
        <w:t>2014 ieee international conference on image processing (icip)</w:t>
      </w:r>
      <w:r>
        <w:rPr>
          <w:rFonts w:ascii="Times New Roman" w:hAnsi="Times New Roman"/>
          <w:sz w:val="24"/>
          <w:szCs w:val="24"/>
        </w:rPr>
        <w:t xml:space="preserve"> 1016–1020 (IEEE, 2014). </w:t>
      </w:r>
    </w:p>
    <w:p>
      <w:pPr>
        <w:pStyle w:val="Bibliography"/>
        <w:bidi w:val="0"/>
        <w:jc w:val="both"/>
        <w:rPr>
          <w:rFonts w:ascii="Times New Roman" w:hAnsi="Times New Roman"/>
          <w:sz w:val="24"/>
          <w:szCs w:val="24"/>
        </w:rPr>
      </w:pPr>
      <w:r>
        <w:rPr>
          <w:rFonts w:ascii="Times New Roman" w:hAnsi="Times New Roman"/>
          <w:sz w:val="24"/>
          <w:szCs w:val="24"/>
        </w:rPr>
        <w:t xml:space="preserve">18. Novikov, A. PyClustering: Data Mining Library. </w:t>
      </w:r>
      <w:r>
        <w:rPr>
          <w:rFonts w:ascii="Times New Roman" w:hAnsi="Times New Roman"/>
          <w:i/>
          <w:sz w:val="24"/>
          <w:szCs w:val="24"/>
        </w:rPr>
        <w:t>Journal of Open Source Software</w:t>
      </w:r>
      <w:r>
        <w:rPr>
          <w:rFonts w:ascii="Times New Roman" w:hAnsi="Times New Roman"/>
          <w:sz w:val="24"/>
          <w:szCs w:val="24"/>
        </w:rPr>
        <w:t xml:space="preserve"> </w:t>
      </w:r>
      <w:r>
        <w:rPr>
          <w:rFonts w:ascii="Times New Roman" w:hAnsi="Times New Roman"/>
          <w:b/>
          <w:sz w:val="24"/>
          <w:szCs w:val="24"/>
        </w:rPr>
        <w:t>4</w:t>
      </w:r>
      <w:r>
        <w:rPr>
          <w:rFonts w:ascii="Times New Roman" w:hAnsi="Times New Roman"/>
          <w:sz w:val="24"/>
          <w:szCs w:val="24"/>
        </w:rPr>
        <w:t>, 1230 (2019).</w:t>
      </w:r>
      <w:bookmarkStart w:id="13" w:name="ref-Novikov2019"/>
      <w:bookmarkEnd w:id="13"/>
    </w:p>
    <w:p>
      <w:pPr>
        <w:pStyle w:val="Bibliography"/>
        <w:bidi w:val="0"/>
        <w:jc w:val="both"/>
        <w:rPr>
          <w:rFonts w:ascii="Times New Roman" w:hAnsi="Times New Roman"/>
          <w:sz w:val="24"/>
          <w:szCs w:val="24"/>
        </w:rPr>
      </w:pPr>
      <w:r>
        <w:rPr>
          <w:rFonts w:ascii="Times New Roman" w:hAnsi="Times New Roman"/>
          <w:sz w:val="24"/>
          <w:szCs w:val="24"/>
        </w:rPr>
        <w:t xml:space="preserve">19. Shao, J., Tanner, S. W., Thompson, N. &amp; Cheatham, T. E. Clustering Molecular Dynamics Trajectories: 1. Characterizing the Performance of Different Clustering Algorithms. </w:t>
      </w:r>
      <w:r>
        <w:rPr>
          <w:rFonts w:ascii="Times New Roman" w:hAnsi="Times New Roman"/>
          <w:i/>
          <w:sz w:val="24"/>
          <w:szCs w:val="24"/>
        </w:rPr>
        <w:t>Journal of Chemical Theory and Computation</w:t>
      </w:r>
      <w:r>
        <w:rPr>
          <w:rFonts w:ascii="Times New Roman" w:hAnsi="Times New Roman"/>
          <w:sz w:val="24"/>
          <w:szCs w:val="24"/>
        </w:rPr>
        <w:t xml:space="preserve"> </w:t>
      </w:r>
      <w:r>
        <w:rPr>
          <w:rFonts w:ascii="Times New Roman" w:hAnsi="Times New Roman"/>
          <w:b/>
          <w:sz w:val="24"/>
          <w:szCs w:val="24"/>
        </w:rPr>
        <w:t>3</w:t>
      </w:r>
      <w:r>
        <w:rPr>
          <w:rFonts w:ascii="Times New Roman" w:hAnsi="Times New Roman"/>
          <w:sz w:val="24"/>
          <w:szCs w:val="24"/>
        </w:rPr>
        <w:t>, 2312–2334 (2007).</w:t>
      </w:r>
      <w:bookmarkStart w:id="14" w:name="ref-Shao2007"/>
      <w:bookmarkEnd w:id="14"/>
    </w:p>
    <w:p>
      <w:pPr>
        <w:pStyle w:val="Bibliography"/>
        <w:bidi w:val="0"/>
        <w:jc w:val="both"/>
        <w:rPr>
          <w:rFonts w:ascii="Times New Roman" w:hAnsi="Times New Roman"/>
          <w:sz w:val="24"/>
          <w:szCs w:val="24"/>
        </w:rPr>
      </w:pPr>
      <w:r>
        <w:rPr>
          <w:rFonts w:ascii="Times New Roman" w:hAnsi="Times New Roman"/>
          <w:sz w:val="24"/>
          <w:szCs w:val="24"/>
        </w:rPr>
        <w:t xml:space="preserve">20. Sharma, A., Mandal, T. K., Sharma, S. K., Shukla, D. K. &amp; Singh, S. Relationships of surface ozone with its precursors, particulate matter and meteorology over Delhi. </w:t>
      </w:r>
      <w:r>
        <w:rPr>
          <w:rFonts w:ascii="Times New Roman" w:hAnsi="Times New Roman"/>
          <w:i/>
          <w:sz w:val="24"/>
          <w:szCs w:val="24"/>
        </w:rPr>
        <w:t>Journal of Atmospheric Chemistry</w:t>
      </w:r>
      <w:r>
        <w:rPr>
          <w:rFonts w:ascii="Times New Roman" w:hAnsi="Times New Roman"/>
          <w:sz w:val="24"/>
          <w:szCs w:val="24"/>
        </w:rPr>
        <w:t xml:space="preserve"> </w:t>
      </w:r>
      <w:r>
        <w:rPr>
          <w:rFonts w:ascii="Times New Roman" w:hAnsi="Times New Roman"/>
          <w:b/>
          <w:sz w:val="24"/>
          <w:szCs w:val="24"/>
        </w:rPr>
        <w:t>74</w:t>
      </w:r>
      <w:r>
        <w:rPr>
          <w:rFonts w:ascii="Times New Roman" w:hAnsi="Times New Roman"/>
          <w:sz w:val="24"/>
          <w:szCs w:val="24"/>
        </w:rPr>
        <w:t>, 451–474 (2017).</w:t>
      </w:r>
      <w:bookmarkStart w:id="15" w:name="ref-Ashima2017"/>
      <w:bookmarkEnd w:id="15"/>
    </w:p>
    <w:p>
      <w:pPr>
        <w:pStyle w:val="Bibliography"/>
        <w:bidi w:val="0"/>
        <w:jc w:val="both"/>
        <w:rPr>
          <w:rFonts w:ascii="Times New Roman" w:hAnsi="Times New Roman"/>
          <w:sz w:val="24"/>
          <w:szCs w:val="24"/>
        </w:rPr>
      </w:pPr>
      <w:r>
        <w:rPr>
          <w:rFonts w:ascii="Times New Roman" w:hAnsi="Times New Roman"/>
          <w:sz w:val="24"/>
          <w:szCs w:val="24"/>
        </w:rPr>
        <w:t xml:space="preserve">21. Giemsa, E., Jacobeit, J., Ries, L. &amp; Hachinger, S. Investigating regional source and sink patterns of Alpine CO 2 and CH 4 concentrations based on a back trajectory receptor model. </w:t>
      </w:r>
      <w:r>
        <w:rPr>
          <w:rFonts w:ascii="Times New Roman" w:hAnsi="Times New Roman"/>
          <w:i/>
          <w:sz w:val="24"/>
          <w:szCs w:val="24"/>
        </w:rPr>
        <w:t>Environmental Sciences Europe 2019 31:1</w:t>
      </w:r>
      <w:r>
        <w:rPr>
          <w:rFonts w:ascii="Times New Roman" w:hAnsi="Times New Roman"/>
          <w:sz w:val="24"/>
          <w:szCs w:val="24"/>
        </w:rPr>
        <w:t xml:space="preserve"> </w:t>
      </w:r>
      <w:r>
        <w:rPr>
          <w:rFonts w:ascii="Times New Roman" w:hAnsi="Times New Roman"/>
          <w:b/>
          <w:sz w:val="24"/>
          <w:szCs w:val="24"/>
        </w:rPr>
        <w:t>31</w:t>
      </w:r>
      <w:r>
        <w:rPr>
          <w:rFonts w:ascii="Times New Roman" w:hAnsi="Times New Roman"/>
          <w:sz w:val="24"/>
          <w:szCs w:val="24"/>
        </w:rPr>
        <w:t>, 1–24 (2019).</w:t>
      </w:r>
      <w:bookmarkStart w:id="16" w:name="ref-Giemsa2019"/>
      <w:bookmarkEnd w:id="16"/>
    </w:p>
    <w:p>
      <w:pPr>
        <w:pStyle w:val="Bibliography"/>
        <w:bidi w:val="0"/>
        <w:jc w:val="both"/>
        <w:rPr>
          <w:rFonts w:ascii="Times New Roman" w:hAnsi="Times New Roman"/>
          <w:sz w:val="24"/>
          <w:szCs w:val="24"/>
        </w:rPr>
      </w:pPr>
      <w:r>
        <w:rPr>
          <w:rFonts w:ascii="Times New Roman" w:hAnsi="Times New Roman"/>
          <w:sz w:val="24"/>
          <w:szCs w:val="24"/>
        </w:rPr>
        <w:t xml:space="preserve">22. Cristofanelli, P. </w:t>
      </w:r>
      <w:r>
        <w:rPr>
          <w:rFonts w:ascii="Times New Roman" w:hAnsi="Times New Roman"/>
          <w:i/>
          <w:sz w:val="24"/>
          <w:szCs w:val="24"/>
        </w:rPr>
        <w:t>et al.</w:t>
      </w:r>
      <w:r>
        <w:rPr>
          <w:rFonts w:ascii="Times New Roman" w:hAnsi="Times New Roman"/>
          <w:sz w:val="24"/>
          <w:szCs w:val="24"/>
        </w:rPr>
        <w:t xml:space="preserve"> Analysis of multi-year near-surface ozone observations at the WMO/GAW ‘Concordia’ station (75°06′S, 123°20′E, 3280 m a.s.l. – Antarctica). </w:t>
      </w:r>
      <w:r>
        <w:rPr>
          <w:rFonts w:ascii="Times New Roman" w:hAnsi="Times New Roman"/>
          <w:i/>
          <w:sz w:val="24"/>
          <w:szCs w:val="24"/>
        </w:rPr>
        <w:t>Atmospheric Environment</w:t>
      </w:r>
      <w:r>
        <w:rPr>
          <w:rFonts w:ascii="Times New Roman" w:hAnsi="Times New Roman"/>
          <w:sz w:val="24"/>
          <w:szCs w:val="24"/>
        </w:rPr>
        <w:t xml:space="preserve"> </w:t>
      </w:r>
      <w:r>
        <w:rPr>
          <w:rFonts w:ascii="Times New Roman" w:hAnsi="Times New Roman"/>
          <w:b/>
          <w:sz w:val="24"/>
          <w:szCs w:val="24"/>
        </w:rPr>
        <w:t>177</w:t>
      </w:r>
      <w:r>
        <w:rPr>
          <w:rFonts w:ascii="Times New Roman" w:hAnsi="Times New Roman"/>
          <w:sz w:val="24"/>
          <w:szCs w:val="24"/>
        </w:rPr>
        <w:t>, 54–63 (2018).</w:t>
      </w:r>
      <w:bookmarkStart w:id="17" w:name="ref-Petit2017"/>
      <w:bookmarkEnd w:id="17"/>
    </w:p>
    <w:p>
      <w:pPr>
        <w:pStyle w:val="Bibliography"/>
        <w:bidi w:val="0"/>
        <w:jc w:val="both"/>
        <w:rPr>
          <w:rFonts w:ascii="Times New Roman" w:hAnsi="Times New Roman"/>
          <w:sz w:val="24"/>
          <w:szCs w:val="24"/>
        </w:rPr>
      </w:pPr>
      <w:r>
        <w:rPr>
          <w:rFonts w:ascii="Times New Roman" w:hAnsi="Times New Roman"/>
          <w:sz w:val="24"/>
          <w:szCs w:val="24"/>
        </w:rPr>
        <w:t xml:space="preserve">23. Stojić, A. &amp; Stanišić Stojić, S. The innovative concept of three-dimensional hybrid receptor modeling. </w:t>
      </w:r>
      <w:r>
        <w:rPr>
          <w:rFonts w:ascii="Times New Roman" w:hAnsi="Times New Roman"/>
          <w:i/>
          <w:sz w:val="24"/>
          <w:szCs w:val="24"/>
        </w:rPr>
        <w:t>Atmospheric Environment</w:t>
      </w:r>
      <w:r>
        <w:rPr>
          <w:rFonts w:ascii="Times New Roman" w:hAnsi="Times New Roman"/>
          <w:sz w:val="24"/>
          <w:szCs w:val="24"/>
        </w:rPr>
        <w:t xml:space="preserve"> </w:t>
      </w:r>
      <w:r>
        <w:rPr>
          <w:rFonts w:ascii="Times New Roman" w:hAnsi="Times New Roman"/>
          <w:b/>
          <w:sz w:val="24"/>
          <w:szCs w:val="24"/>
        </w:rPr>
        <w:t>164</w:t>
      </w:r>
      <w:r>
        <w:rPr>
          <w:rFonts w:ascii="Times New Roman" w:hAnsi="Times New Roman"/>
          <w:sz w:val="24"/>
          <w:szCs w:val="24"/>
        </w:rPr>
        <w:t>, 216–223 (2017).</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Normal"/>
    <w:next w:val="TextBody"/>
    <w:qFormat/>
    <w:pPr>
      <w:keepNext w:val="true"/>
      <w:keepLines/>
      <w:spacing w:before="200" w:after="0"/>
      <w:outlineLvl w:val="1"/>
    </w:pPr>
    <w:rPr>
      <w:rFonts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qFormat/>
    <w:pPr>
      <w:keepNext w:val="true"/>
      <w:keepLines/>
      <w:spacing w:before="200" w:after="0"/>
      <w:outlineLvl w:val="2"/>
    </w:pPr>
    <w:rPr>
      <w:rFonts w:eastAsia="" w:cs="" w:asciiTheme="majorHAnsi" w:cstheme="majorBidi" w:eastAsiaTheme="majorEastAsia" w:hAnsiTheme="majorHAnsi"/>
      <w:b/>
      <w:bCs/>
      <w:color w:val="4F81BD" w:themeColor="accent1"/>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
    <w:name w:val="Bibliography"/>
    <w:basedOn w:val="Normal"/>
    <w:qFormat/>
    <w:pPr/>
    <w:rPr/>
  </w:style>
  <w:style w:type="paragraph" w:styleId="FirstParagraph">
    <w:name w:val="First Paragraph"/>
    <w:basedOn w:val="TextBody"/>
    <w:next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3</Pages>
  <Words>906</Words>
  <Characters>5096</Characters>
  <CharactersWithSpaces>5970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2021-01-11T00:43:30Z</dcterms:created>
  <dc:creator/>
  <dc:description/>
  <dc:language>en-IN</dc:language>
  <cp:lastModifiedBy/>
  <dcterms:modified xsi:type="dcterms:W3CDTF">2021-01-11T00:49:14Z</dcterms:modified>
  <cp:revision>5</cp:revision>
  <dc:subject/>
  <dc:title/>
</cp:coreProperties>
</file>