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27.png" ContentType="image/png"/>
  <Override PartName="/word/media/rId24.png" ContentType="image/png"/>
  <Override PartName="/word/media/rId2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Maitri</w:t>
      </w:r>
      <w:r>
        <w:t xml:space="preserve"> </w:t>
      </w:r>
      <w:r>
        <w:t xml:space="preserve">Ozonesonde</w:t>
      </w:r>
      <w:r>
        <w:t xml:space="preserve"> </w:t>
      </w:r>
      <w:r>
        <w:t xml:space="preserve">Analysis</w:t>
      </w:r>
    </w:p>
    <w:p>
      <w:pPr>
        <w:pStyle w:val="Author"/>
      </w:pPr>
      <w:r>
        <w:t xml:space="preserve">P.</w:t>
      </w:r>
      <w:r>
        <w:t xml:space="preserve"> </w:t>
      </w:r>
      <w:r>
        <w:t xml:space="preserve">Kumar</w:t>
      </w:r>
      <w:r>
        <w:rPr>
          <w:vertAlign w:val="superscript"/>
        </w:rPr>
        <w:t xml:space="preserve">1</w:t>
      </w:r>
    </w:p>
    <w:p>
      <w:pPr>
        <w:pStyle w:val="Date"/>
      </w:pPr>
    </w:p>
    <w:p>
      <w:pPr>
        <w:pStyle w:val="FirstParagraph"/>
      </w:pPr>
      <w:r>
        <w:rPr>
          <w:vertAlign w:val="superscript"/>
        </w:rPr>
        <w:t xml:space="preserve">1</w:t>
      </w:r>
      <w:r>
        <w:t xml:space="preserve"> </w:t>
      </w:r>
      <w:r>
        <w:t xml:space="preserve">CORAL, Indian Institute of Technology Kharagpur, Kharagpur, West Bengal, India</w:t>
      </w:r>
    </w:p>
    <w:p>
      <w:pPr>
        <w:pStyle w:val="Heading2"/>
      </w:pPr>
      <w:bookmarkStart w:id="20" w:name="abstract"/>
      <w:r>
        <w:t xml:space="preserve">Abstract</w:t>
      </w:r>
      <w:bookmarkEnd w:id="20"/>
    </w:p>
    <w:p>
      <w:pPr>
        <w:pStyle w:val="Heading2"/>
      </w:pPr>
      <w:bookmarkStart w:id="21" w:name="introduction"/>
      <w:r>
        <w:t xml:space="preserve">Introduction</w:t>
      </w:r>
      <w:bookmarkEnd w:id="21"/>
    </w:p>
    <w:p>
      <w:pPr>
        <w:pStyle w:val="Heading2"/>
      </w:pPr>
      <w:bookmarkStart w:id="22" w:name="materials-and-methods"/>
      <w:r>
        <w:t xml:space="preserve">Materials and Methods</w:t>
      </w:r>
      <w:bookmarkEnd w:id="22"/>
    </w:p>
    <w:p>
      <w:pPr>
        <w:pStyle w:val="Heading2"/>
      </w:pPr>
      <w:bookmarkStart w:id="23" w:name="results-and-discussion"/>
      <w:r>
        <w:t xml:space="preserve">Results and Discussion</w:t>
      </w:r>
      <w:bookmarkEnd w:id="23"/>
    </w:p>
    <w:p>
      <w:pPr>
        <w:pStyle w:val="FirstParagraph"/>
      </w:pPr>
      <w:r>
        <w:drawing>
          <wp:inline>
            <wp:extent cx="5334000" cy="2323398"/>
            <wp:effectExtent b="0" l="0" r="0" t="0"/>
            <wp:docPr descr="Figure 1" title="" id="1" name="Picture"/>
            <a:graphic>
              <a:graphicData uri="http://schemas.openxmlformats.org/drawingml/2006/picture">
                <pic:pic>
                  <pic:nvPicPr>
                    <pic:cNvPr descr="../figs/maitri.profile.stra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33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364649"/>
            <wp:effectExtent b="0" l="0" r="0" t="0"/>
            <wp:docPr descr="Figure 2" title="" id="1" name="Picture"/>
            <a:graphic>
              <a:graphicData uri="http://schemas.openxmlformats.org/drawingml/2006/picture">
                <pic:pic>
                  <pic:nvPicPr>
                    <pic:cNvPr descr="../figs/maitri.profile.trop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4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5827888"/>
            <wp:effectExtent b="0" l="0" r="0" t="0"/>
            <wp:docPr descr="Figure 3" title="" id="1" name="Picture"/>
            <a:graphic>
              <a:graphicData uri="http://schemas.openxmlformats.org/drawingml/2006/picture">
                <pic:pic>
                  <pic:nvPicPr>
                    <pic:cNvPr descr="../figs/cluster.ozone.profil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27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963458"/>
            <wp:effectExtent b="0" l="0" r="0" t="0"/>
            <wp:docPr descr="Figure 4" title="" id="1" name="Picture"/>
            <a:graphic>
              <a:graphicData uri="http://schemas.openxmlformats.org/drawingml/2006/picture">
                <pic:pic>
                  <pic:nvPicPr>
                    <pic:cNvPr descr="../figs/lo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34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8" w:name="conclusions"/>
      <w:r>
        <w:t xml:space="preserve">Conclusions</w:t>
      </w:r>
      <w:bookmarkEnd w:id="28"/>
    </w:p>
    <w:p>
      <w:pPr>
        <w:pStyle w:val="Heading3"/>
      </w:pPr>
      <w:bookmarkStart w:id="29" w:name="online-content"/>
      <w:r>
        <w:t xml:space="preserve">Online content</w:t>
      </w:r>
      <w:bookmarkEnd w:id="29"/>
    </w:p>
    <w:p>
      <w:pPr>
        <w:pStyle w:val="FirstParagraph"/>
      </w:pPr>
      <w:r>
        <w:t xml:space="preserve">Any method, additional references, statements of data availability and associated accession codes are available in attached supplementary document.</w:t>
      </w:r>
    </w:p>
    <w:p>
      <w:pPr>
        <w:pStyle w:val="Heading3"/>
      </w:pPr>
      <w:bookmarkStart w:id="30" w:name="acknowledgements"/>
      <w:r>
        <w:t xml:space="preserve">Acknowledgements</w:t>
      </w:r>
      <w:bookmarkEnd w:id="30"/>
    </w:p>
    <w:p>
      <w:pPr>
        <w:pStyle w:val="Heading3"/>
      </w:pPr>
      <w:bookmarkStart w:id="31" w:name="competing-interests"/>
      <w:r>
        <w:t xml:space="preserve">Competing interests</w:t>
      </w:r>
      <w:bookmarkEnd w:id="31"/>
    </w:p>
    <w:p>
      <w:pPr>
        <w:pStyle w:val="FirstParagraph"/>
      </w:pPr>
      <w:r>
        <w:t xml:space="preserve">The authors declare no conflict of interest.</w:t>
      </w:r>
    </w:p>
    <w:p>
      <w:pPr>
        <w:pStyle w:val="Heading3"/>
      </w:pPr>
      <w:bookmarkStart w:id="32" w:name="references"/>
      <w:r>
        <w:t xml:space="preserve">References</w:t>
      </w:r>
      <w:bookmarkEnd w:id="32"/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4" Target="media/rId24.png" /><Relationship Type="http://schemas.openxmlformats.org/officeDocument/2006/relationships/image" Id="rId25" Target="media/rId25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Maitri Ozonesonde Analysis</dc:title>
  <dc:creator>P. Kumar1</dc:creator>
  <cp:keywords/>
  <dcterms:created xsi:type="dcterms:W3CDTF">2020-07-31T05:15:10Z</dcterms:created>
  <dcterms:modified xsi:type="dcterms:W3CDTF">2020-07-31T05:15:10Z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iography">
    <vt:lpwstr>./ref.bib</vt:lpwstr>
  </property>
  <property fmtid="{D5CDD505-2E9C-101B-9397-08002B2CF9AE}" pid="5" name="ccsDelim">
    <vt:lpwstr>, </vt:lpwstr>
  </property>
  <property fmtid="{D5CDD505-2E9C-101B-9397-08002B2CF9AE}" pid="6" name="ccsLabelSep">
    <vt:lpwstr> — </vt:lpwstr>
  </property>
  <property fmtid="{D5CDD505-2E9C-101B-9397-08002B2CF9AE}" pid="7" name="ccsTemplate">
    <vt:lpwstr>iccsLabelSept</vt:lpwstr>
  </property>
  <property fmtid="{D5CDD505-2E9C-101B-9397-08002B2CF9AE}" pid="8" name="chapDelim">
    <vt:lpwstr>.</vt:lpwstr>
  </property>
  <property fmtid="{D5CDD505-2E9C-101B-9397-08002B2CF9AE}" pid="9" name="chapters">
    <vt:lpwstr>False</vt:lpwstr>
  </property>
  <property fmtid="{D5CDD505-2E9C-101B-9397-08002B2CF9AE}" pid="10" name="chaptersDepth">
    <vt:lpwstr>1</vt:lpwstr>
  </property>
  <property fmtid="{D5CDD505-2E9C-101B-9397-08002B2CF9AE}" pid="11" name="codeBlockCaptions">
    <vt:lpwstr>False</vt:lpwstr>
  </property>
  <property fmtid="{D5CDD505-2E9C-101B-9397-08002B2CF9AE}" pid="12" name="cref">
    <vt:lpwstr>False</vt:lpwstr>
  </property>
  <property fmtid="{D5CDD505-2E9C-101B-9397-08002B2CF9AE}" pid="13" name="crossrefYaml">
    <vt:lpwstr>pandoc-crossref.yaml</vt:lpwstr>
  </property>
  <property fmtid="{D5CDD505-2E9C-101B-9397-08002B2CF9AE}" pid="14" name="csl">
    <vt:lpwstr>./template/nature.csl</vt:lpwstr>
  </property>
  <property fmtid="{D5CDD505-2E9C-101B-9397-08002B2CF9AE}" pid="15" name="date">
    <vt:lpwstr/>
  </property>
  <property fmtid="{D5CDD505-2E9C-101B-9397-08002B2CF9AE}" pid="16" name="eqLabels">
    <vt:lpwstr>arabic</vt:lpwstr>
  </property>
  <property fmtid="{D5CDD505-2E9C-101B-9397-08002B2CF9AE}" pid="17" name="eqnPrefix">
    <vt:lpwstr/>
  </property>
  <property fmtid="{D5CDD505-2E9C-101B-9397-08002B2CF9AE}" pid="18" name="eqnPrefixTemplate">
    <vt:lpwstr>p i</vt:lpwstr>
  </property>
  <property fmtid="{D5CDD505-2E9C-101B-9397-08002B2CF9AE}" pid="19" name="figLabels">
    <vt:lpwstr>arabic</vt:lpwstr>
  </property>
  <property fmtid="{D5CDD505-2E9C-101B-9397-08002B2CF9AE}" pid="20" name="figPrefix">
    <vt:lpwstr>Fig.</vt:lpwstr>
  </property>
  <property fmtid="{D5CDD505-2E9C-101B-9397-08002B2CF9AE}" pid="21" name="figPrefixTemplate">
    <vt:lpwstr>p i</vt:lpwstr>
  </property>
  <property fmtid="{D5CDD505-2E9C-101B-9397-08002B2CF9AE}" pid="22" name="figureTemplate">
    <vt:lpwstr>figureTitle ititleDelim t</vt:lpwstr>
  </property>
  <property fmtid="{D5CDD505-2E9C-101B-9397-08002B2CF9AE}" pid="23" name="figureTitle">
    <vt:lpwstr>Figure</vt:lpwstr>
  </property>
  <property fmtid="{D5CDD505-2E9C-101B-9397-08002B2CF9AE}" pid="24" name="lastDelim">
    <vt:lpwstr>, </vt:lpwstr>
  </property>
  <property fmtid="{D5CDD505-2E9C-101B-9397-08002B2CF9AE}" pid="25" name="link-citations">
    <vt:lpwstr>True</vt:lpwstr>
  </property>
  <property fmtid="{D5CDD505-2E9C-101B-9397-08002B2CF9AE}" pid="26" name="linkReferences">
    <vt:lpwstr>True</vt:lpwstr>
  </property>
  <property fmtid="{D5CDD505-2E9C-101B-9397-08002B2CF9AE}" pid="27" name="listingTemplate">
    <vt:lpwstr>listingTitle ititleDelim t</vt:lpwstr>
  </property>
  <property fmtid="{D5CDD505-2E9C-101B-9397-08002B2CF9AE}" pid="28" name="listingTitle">
    <vt:lpwstr>Listing</vt:lpwstr>
  </property>
  <property fmtid="{D5CDD505-2E9C-101B-9397-08002B2CF9AE}" pid="29" name="listings">
    <vt:lpwstr>False</vt:lpwstr>
  </property>
  <property fmtid="{D5CDD505-2E9C-101B-9397-08002B2CF9AE}" pid="30" name="lofTitle">
    <vt:lpwstr>List of Figures</vt:lpwstr>
  </property>
  <property fmtid="{D5CDD505-2E9C-101B-9397-08002B2CF9AE}" pid="31" name="lolTitle">
    <vt:lpwstr>List of Listings</vt:lpwstr>
  </property>
  <property fmtid="{D5CDD505-2E9C-101B-9397-08002B2CF9AE}" pid="32" name="lotTitle">
    <vt:lpwstr>List of Tables</vt:lpwstr>
  </property>
  <property fmtid="{D5CDD505-2E9C-101B-9397-08002B2CF9AE}" pid="33" name="lstLabels">
    <vt:lpwstr>arabic</vt:lpwstr>
  </property>
  <property fmtid="{D5CDD505-2E9C-101B-9397-08002B2CF9AE}" pid="34" name="lstPrefix">
    <vt:lpwstr/>
  </property>
  <property fmtid="{D5CDD505-2E9C-101B-9397-08002B2CF9AE}" pid="35" name="lstPrefixTemplate">
    <vt:lpwstr>p i</vt:lpwstr>
  </property>
  <property fmtid="{D5CDD505-2E9C-101B-9397-08002B2CF9AE}" pid="36" name="nameInLink">
    <vt:lpwstr>False</vt:lpwstr>
  </property>
  <property fmtid="{D5CDD505-2E9C-101B-9397-08002B2CF9AE}" pid="37" name="numberSections">
    <vt:lpwstr>False</vt:lpwstr>
  </property>
  <property fmtid="{D5CDD505-2E9C-101B-9397-08002B2CF9AE}" pid="38" name="pairDelim">
    <vt:lpwstr>, </vt:lpwstr>
  </property>
  <property fmtid="{D5CDD505-2E9C-101B-9397-08002B2CF9AE}" pid="39" name="rangeDelim">
    <vt:lpwstr>-</vt:lpwstr>
  </property>
  <property fmtid="{D5CDD505-2E9C-101B-9397-08002B2CF9AE}" pid="40" name="refDelim">
    <vt:lpwstr>, </vt:lpwstr>
  </property>
  <property fmtid="{D5CDD505-2E9C-101B-9397-08002B2CF9AE}" pid="41" name="refIndexTemplate">
    <vt:lpwstr>isuf</vt:lpwstr>
  </property>
  <property fmtid="{D5CDD505-2E9C-101B-9397-08002B2CF9AE}" pid="42" name="secHeaderDelim">
    <vt:lpwstr> </vt:lpwstr>
  </property>
  <property fmtid="{D5CDD505-2E9C-101B-9397-08002B2CF9AE}" pid="43" name="secHeaderTemplate">
    <vt:lpwstr>isecHeaderDelimt</vt:lpwstr>
  </property>
  <property fmtid="{D5CDD505-2E9C-101B-9397-08002B2CF9AE}" pid="44" name="secLabels">
    <vt:lpwstr>arabic</vt:lpwstr>
  </property>
  <property fmtid="{D5CDD505-2E9C-101B-9397-08002B2CF9AE}" pid="45" name="secPrefix">
    <vt:lpwstr/>
  </property>
  <property fmtid="{D5CDD505-2E9C-101B-9397-08002B2CF9AE}" pid="46" name="secPrefixTemplate">
    <vt:lpwstr>p i</vt:lpwstr>
  </property>
  <property fmtid="{D5CDD505-2E9C-101B-9397-08002B2CF9AE}" pid="47" name="sectionsDepth">
    <vt:lpwstr>0</vt:lpwstr>
  </property>
  <property fmtid="{D5CDD505-2E9C-101B-9397-08002B2CF9AE}" pid="48" name="short_title">
    <vt:lpwstr>Maitri</vt:lpwstr>
  </property>
  <property fmtid="{D5CDD505-2E9C-101B-9397-08002B2CF9AE}" pid="49" name="subfigGrid">
    <vt:lpwstr>False</vt:lpwstr>
  </property>
  <property fmtid="{D5CDD505-2E9C-101B-9397-08002B2CF9AE}" pid="50" name="subfigLabels">
    <vt:lpwstr>alpha a</vt:lpwstr>
  </property>
  <property fmtid="{D5CDD505-2E9C-101B-9397-08002B2CF9AE}" pid="51" name="subfigureChildTemplate">
    <vt:lpwstr>i</vt:lpwstr>
  </property>
  <property fmtid="{D5CDD505-2E9C-101B-9397-08002B2CF9AE}" pid="52" name="subfigureRefIndexTemplate">
    <vt:lpwstr>isuf (s)</vt:lpwstr>
  </property>
  <property fmtid="{D5CDD505-2E9C-101B-9397-08002B2CF9AE}" pid="53" name="subfigureTemplate">
    <vt:lpwstr>figureTitle ititleDelim t. ccs</vt:lpwstr>
  </property>
  <property fmtid="{D5CDD505-2E9C-101B-9397-08002B2CF9AE}" pid="54" name="tableEqns">
    <vt:lpwstr>False</vt:lpwstr>
  </property>
  <property fmtid="{D5CDD505-2E9C-101B-9397-08002B2CF9AE}" pid="55" name="tableTemplate">
    <vt:lpwstr>tableTitle ititleDelim t</vt:lpwstr>
  </property>
  <property fmtid="{D5CDD505-2E9C-101B-9397-08002B2CF9AE}" pid="56" name="tableTitle">
    <vt:lpwstr>Table</vt:lpwstr>
  </property>
  <property fmtid="{D5CDD505-2E9C-101B-9397-08002B2CF9AE}" pid="57" name="tblLabels">
    <vt:lpwstr>arabic</vt:lpwstr>
  </property>
  <property fmtid="{D5CDD505-2E9C-101B-9397-08002B2CF9AE}" pid="58" name="tblPrefix">
    <vt:lpwstr>Table</vt:lpwstr>
  </property>
  <property fmtid="{D5CDD505-2E9C-101B-9397-08002B2CF9AE}" pid="59" name="tblPrefixTemplate">
    <vt:lpwstr>p i</vt:lpwstr>
  </property>
  <property fmtid="{D5CDD505-2E9C-101B-9397-08002B2CF9AE}" pid="60" name="titleDelim">
    <vt:lpwstr>:</vt:lpwstr>
  </property>
  <property fmtid="{D5CDD505-2E9C-101B-9397-08002B2CF9AE}" pid="61" name="version">
    <vt:lpwstr>1</vt:lpwstr>
  </property>
</Properties>
</file>