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APEXNOVA TECHNOLOGIES</w:t>
      </w:r>
    </w:p>
    <w:p/>
    <w:p>
      <w:pPr>
        <w:jc w:val="center"/>
      </w:pPr>
      <w:r>
        <w:rPr>
          <w:b/>
          <w:sz w:val="48"/>
        </w:rPr>
        <w:t>Enterprise Knowledge &amp; Operations Handbook</w:t>
      </w:r>
    </w:p>
    <w:p>
      <w:pPr>
        <w:jc w:val="center"/>
      </w:pPr>
      <w:r>
        <w:rPr>
          <w:sz w:val="26"/>
        </w:rPr>
        <w:t>Version 3.2 | Effective: 01 October 2026</w:t>
      </w:r>
    </w:p>
    <w:p/>
    <w:p>
      <w:r>
        <w:t>Purpose: This controlled handbook is designed to provide a realistic enterprise knowledge source for retrieval-augmented generation (RAG) and structured knowledge/fact extraction (OKF) testing.</w:t>
      </w:r>
    </w:p>
    <w:p>
      <w:r>
        <w:t>Classification: Internal Use Only</w:t>
      </w:r>
    </w:p>
    <w:p>
      <w:r>
        <w:t>Document Owner: Enterprise Architecture &amp; Operations</w:t>
      </w:r>
    </w:p>
    <w:p>
      <w:r>
        <w:t>Review Cycle: Quarterly</w:t>
      </w:r>
    </w:p>
    <w:p>
      <w:pPr>
        <w:pStyle w:val="Heading2"/>
      </w:pPr>
      <w:r>
        <w:t>How to use this test document</w:t>
      </w:r>
    </w:p>
    <w:p>
      <w:r>
        <w:t>This document intentionally contains policies, procedures, named systems, owners, relationships, thresholds, dates, identifiers, responsibilities, and exceptions. A RAG system should retrieve the relevant passages. An OKF system should identify structured facts and relationships such as policy rules, systems, departments, owners, approval requirements, service targets, and dependencies.</w:t>
      </w:r>
    </w:p>
    <w:p>
      <w:pPr>
        <w:pStyle w:val="ListBullet"/>
      </w:pPr>
      <w:r>
        <w:t>RAG test: Ask questions requiring exact contextual retrieval, such as approval limits, incident deadlines, retention periods, or deployment requirements.</w:t>
      </w:r>
    </w:p>
    <w:p>
      <w:pPr>
        <w:pStyle w:val="ListBullet"/>
      </w:pPr>
      <w:r>
        <w:t>OKF test: Extract entities and relationships such as Service → Owner, System → Database, Policy → Retention Period, and Role → Approval Authority.</w:t>
      </w:r>
    </w:p>
    <w:p>
      <w:pPr>
        <w:pStyle w:val="ListBullet"/>
      </w:pPr>
      <w:r>
        <w:t>Cross-document test: Ask questions that require combining information from multiple sections.</w:t>
      </w:r>
    </w:p>
    <w:p>
      <w:r>
        <w:br w:type="page"/>
      </w:r>
    </w:p>
    <w:p>
      <w:pPr>
        <w:pStyle w:val="Heading1"/>
      </w:pPr>
      <w:r>
        <w:t>1. Enterprise Overview and Organizational Structure</w:t>
      </w:r>
    </w:p>
    <w:p>
      <w:r>
        <w:t>ApexNova Technologies is a fictional enterprise software company that provides workflow automation, analytics, and secure API services to business customers. Its primary production platform is NovaCore, a multi-tenant SaaS platform deployed in the United States and European Union regions.</w:t>
      </w:r>
    </w:p>
    <w:p>
      <w:pPr>
        <w:pStyle w:val="Heading2"/>
      </w:pPr>
      <w:r>
        <w:t>1.1 Core organizational units</w:t>
      </w:r>
    </w:p>
    <w:tbl>
      <w:tblPr>
        <w:tblW w:type="auto" w:w="0"/>
        <w:jc w:val="center"/>
        <w:tblLook w:firstColumn="1" w:firstRow="1" w:lastColumn="0" w:lastRow="0" w:noHBand="0" w:noVBand="1" w:val="04A0"/>
      </w:tblPr>
      <w:tblGrid>
        <w:gridCol w:w="3360"/>
        <w:gridCol w:w="3360"/>
        <w:gridCol w:w="3360"/>
      </w:tblGrid>
      <w:tr>
        <w:tc>
          <w:tcPr>
            <w:tcW w:type="dxa" w:w="3360"/>
          </w:tcPr>
          <w:p>
            <w:r>
              <w:t>Department</w:t>
            </w:r>
          </w:p>
        </w:tc>
        <w:tc>
          <w:tcPr>
            <w:tcW w:type="dxa" w:w="3360"/>
          </w:tcPr>
          <w:p>
            <w:r>
              <w:t>Primary Responsibility</w:t>
            </w:r>
          </w:p>
        </w:tc>
        <w:tc>
          <w:tcPr>
            <w:tcW w:type="dxa" w:w="3360"/>
          </w:tcPr>
          <w:p>
            <w:r>
              <w:t>Accountable Executive</w:t>
            </w:r>
          </w:p>
        </w:tc>
      </w:tr>
      <w:tr>
        <w:tc>
          <w:tcPr>
            <w:tcW w:type="dxa" w:w="3360"/>
          </w:tcPr>
          <w:p>
            <w:r>
              <w:t>Engineering</w:t>
            </w:r>
          </w:p>
        </w:tc>
        <w:tc>
          <w:tcPr>
            <w:tcW w:type="dxa" w:w="3360"/>
          </w:tcPr>
          <w:p>
            <w:r>
              <w:t>NovaCore development, platform reliability, APIs</w:t>
            </w:r>
          </w:p>
        </w:tc>
        <w:tc>
          <w:tcPr>
            <w:tcW w:type="dxa" w:w="3360"/>
          </w:tcPr>
          <w:p>
            <w:r>
              <w:t>VP Engineering — Elena Rao</w:t>
            </w:r>
          </w:p>
        </w:tc>
      </w:tr>
      <w:tr>
        <w:tc>
          <w:tcPr>
            <w:tcW w:type="dxa" w:w="3360"/>
          </w:tcPr>
          <w:p>
            <w:r>
              <w:t>Information Security</w:t>
            </w:r>
          </w:p>
        </w:tc>
        <w:tc>
          <w:tcPr>
            <w:tcW w:type="dxa" w:w="3360"/>
          </w:tcPr>
          <w:p>
            <w:r>
              <w:t>Security governance, incident response, risk</w:t>
            </w:r>
          </w:p>
        </w:tc>
        <w:tc>
          <w:tcPr>
            <w:tcW w:type="dxa" w:w="3360"/>
          </w:tcPr>
          <w:p>
            <w:r>
              <w:t>CISO — Marcus Chen</w:t>
            </w:r>
          </w:p>
        </w:tc>
      </w:tr>
      <w:tr>
        <w:tc>
          <w:tcPr>
            <w:tcW w:type="dxa" w:w="3360"/>
          </w:tcPr>
          <w:p>
            <w:r>
              <w:t>Data Platform</w:t>
            </w:r>
          </w:p>
        </w:tc>
        <w:tc>
          <w:tcPr>
            <w:tcW w:type="dxa" w:w="3360"/>
          </w:tcPr>
          <w:p>
            <w:r>
              <w:t>Data pipelines, analytics, retention controls</w:t>
            </w:r>
          </w:p>
        </w:tc>
        <w:tc>
          <w:tcPr>
            <w:tcW w:type="dxa" w:w="3360"/>
          </w:tcPr>
          <w:p>
            <w:r>
              <w:t>Director of Data — Priya Nair</w:t>
            </w:r>
          </w:p>
        </w:tc>
      </w:tr>
      <w:tr>
        <w:tc>
          <w:tcPr>
            <w:tcW w:type="dxa" w:w="3360"/>
          </w:tcPr>
          <w:p>
            <w:r>
              <w:t>Customer Operations</w:t>
            </w:r>
          </w:p>
        </w:tc>
        <w:tc>
          <w:tcPr>
            <w:tcW w:type="dxa" w:w="3360"/>
          </w:tcPr>
          <w:p>
            <w:r>
              <w:t>Support, onboarding, service requests</w:t>
            </w:r>
          </w:p>
        </w:tc>
        <w:tc>
          <w:tcPr>
            <w:tcW w:type="dxa" w:w="3360"/>
          </w:tcPr>
          <w:p>
            <w:r>
              <w:t>VP Customer Operations — Daniel Brooks</w:t>
            </w:r>
          </w:p>
        </w:tc>
      </w:tr>
      <w:tr>
        <w:tc>
          <w:tcPr>
            <w:tcW w:type="dxa" w:w="3360"/>
          </w:tcPr>
          <w:p>
            <w:r>
              <w:t>People Operations</w:t>
            </w:r>
          </w:p>
        </w:tc>
        <w:tc>
          <w:tcPr>
            <w:tcW w:type="dxa" w:w="3360"/>
          </w:tcPr>
          <w:p>
            <w:r>
              <w:t>Employee lifecycle, access requests, training</w:t>
            </w:r>
          </w:p>
        </w:tc>
        <w:tc>
          <w:tcPr>
            <w:tcW w:type="dxa" w:w="3360"/>
          </w:tcPr>
          <w:p>
            <w:r>
              <w:t>Director People Ops — Sofia Martinez</w:t>
            </w:r>
          </w:p>
        </w:tc>
      </w:tr>
      <w:tr>
        <w:tc>
          <w:tcPr>
            <w:tcW w:type="dxa" w:w="3360"/>
          </w:tcPr>
          <w:p>
            <w:r>
              <w:t>Finance</w:t>
            </w:r>
          </w:p>
        </w:tc>
        <w:tc>
          <w:tcPr>
            <w:tcW w:type="dxa" w:w="3360"/>
          </w:tcPr>
          <w:p>
            <w:r>
              <w:t>Billing, procurement, financial controls</w:t>
            </w:r>
          </w:p>
        </w:tc>
        <w:tc>
          <w:tcPr>
            <w:tcW w:type="dxa" w:w="3360"/>
          </w:tcPr>
          <w:p>
            <w:r>
              <w:t>CFO — Liam Walker</w:t>
            </w:r>
          </w:p>
        </w:tc>
      </w:tr>
    </w:tbl>
    <w:p>
      <w:pPr>
        <w:pStyle w:val="Heading2"/>
      </w:pPr>
      <w:r>
        <w:t>1.2 Critical enterprise systems</w:t>
      </w:r>
    </w:p>
    <w:p>
      <w:pPr>
        <w:pStyle w:val="ListBullet"/>
      </w:pPr>
      <w:r>
        <w:t>NovaCore: customer-facing SaaS application. Owner: Engineering. Availability target: 99.95% monthly.</w:t>
      </w:r>
    </w:p>
    <w:p>
      <w:pPr>
        <w:pStyle w:val="ListBullet"/>
      </w:pPr>
      <w:r>
        <w:t>Orion Identity: centralized identity and access management service. Owner: Information Security. MFA is mandatory for privileged users.</w:t>
      </w:r>
    </w:p>
    <w:p>
      <w:pPr>
        <w:pStyle w:val="ListBullet"/>
      </w:pPr>
      <w:r>
        <w:t>Atlas Data Lake: analytical storage platform. Owner: Data Platform. Production customer data is encrypted at rest.</w:t>
      </w:r>
    </w:p>
    <w:p>
      <w:pPr>
        <w:pStyle w:val="ListBullet"/>
      </w:pPr>
      <w:r>
        <w:t>PulseDesk: internal support and incident-management platform. Owner: Customer Operations.</w:t>
      </w:r>
    </w:p>
    <w:p>
      <w:pPr>
        <w:pStyle w:val="ListBullet"/>
      </w:pPr>
      <w:r>
        <w:t>LedgerOne: finance and billing system. Owner: Finance. Access requires manager approval and finance-system role assignment.</w:t>
      </w:r>
    </w:p>
    <w:p>
      <w:pPr>
        <w:pStyle w:val="Heading2"/>
      </w:pPr>
      <w:r>
        <w:t>1.3 Decision and escalation model</w:t>
      </w:r>
    </w:p>
    <w:p>
      <w:r>
        <w:t>Operational decisions are delegated to service owners within approved risk limits. Security exceptions require approval from the CISO. Production changes classified as high risk require approval from both the Engineering change owner and Information Security. Customer-impacting incidents are coordinated through PulseDesk and the Incident Commander.</w:t>
      </w:r>
    </w:p>
    <w:p>
      <w:r>
        <w:br w:type="page"/>
      </w:r>
    </w:p>
    <w:p>
      <w:pPr>
        <w:pStyle w:val="Heading1"/>
      </w:pPr>
      <w:r>
        <w:t>2. Information Security and Access Control Policy</w:t>
      </w:r>
    </w:p>
    <w:p>
      <w:pPr>
        <w:pStyle w:val="Heading2"/>
      </w:pPr>
      <w:r>
        <w:t>2.1 Identity and authentication</w:t>
      </w:r>
    </w:p>
    <w:p>
      <w:r>
        <w:t>All employees and contractors must use Orion Identity for corporate authentication. Multi-factor authentication (MFA) is required for administrator accounts, production access, finance systems, and remote administrative sessions. Shared administrator accounts are prohibited.</w:t>
      </w:r>
    </w:p>
    <w:p>
      <w:r>
        <w:t>Access is granted according to least privilege and business need. A manager must approve an employee's initial access request. Access to production systems additionally requires approval from the relevant system owner.</w:t>
      </w:r>
    </w:p>
    <w:p>
      <w:pPr>
        <w:pStyle w:val="Heading2"/>
      </w:pPr>
      <w:r>
        <w:t>2.2 Access review and termination</w:t>
      </w:r>
    </w:p>
    <w:p>
      <w:r>
        <w:t>System owners must review privileged access every 30 days and standard application access every 90 days. People Operations must notify Information Security of an employee termination before the termination becomes effective whenever operationally possible. Corporate identity access must be disabled no later than 15 minutes after an involuntary termination is confirmed.</w:t>
      </w:r>
    </w:p>
    <w:p>
      <w:pPr>
        <w:pStyle w:val="Heading2"/>
      </w:pPr>
      <w:r>
        <w:t>2.3 Data classification</w:t>
      </w:r>
    </w:p>
    <w:tbl>
      <w:tblPr>
        <w:tblW w:type="auto" w:w="0"/>
        <w:jc w:val="center"/>
        <w:tblLook w:firstColumn="1" w:firstRow="1" w:lastColumn="0" w:lastRow="0" w:noHBand="0" w:noVBand="1" w:val="04A0"/>
      </w:tblPr>
      <w:tblGrid>
        <w:gridCol w:w="3360"/>
        <w:gridCol w:w="3360"/>
        <w:gridCol w:w="3360"/>
      </w:tblGrid>
      <w:tr>
        <w:tc>
          <w:tcPr>
            <w:tcW w:type="dxa" w:w="3360"/>
          </w:tcPr>
          <w:p>
            <w:r>
              <w:t>Classification</w:t>
            </w:r>
          </w:p>
        </w:tc>
        <w:tc>
          <w:tcPr>
            <w:tcW w:type="dxa" w:w="3360"/>
          </w:tcPr>
          <w:p>
            <w:r>
              <w:t>Examples</w:t>
            </w:r>
          </w:p>
        </w:tc>
        <w:tc>
          <w:tcPr>
            <w:tcW w:type="dxa" w:w="3360"/>
          </w:tcPr>
          <w:p>
            <w:r>
              <w:t>Required Control</w:t>
            </w:r>
          </w:p>
        </w:tc>
      </w:tr>
      <w:tr>
        <w:tc>
          <w:tcPr>
            <w:tcW w:type="dxa" w:w="3360"/>
          </w:tcPr>
          <w:p>
            <w:r>
              <w:t>Public</w:t>
            </w:r>
          </w:p>
        </w:tc>
        <w:tc>
          <w:tcPr>
            <w:tcW w:type="dxa" w:w="3360"/>
          </w:tcPr>
          <w:p>
            <w:r>
              <w:t>Published product documentation, press releases</w:t>
            </w:r>
          </w:p>
        </w:tc>
        <w:tc>
          <w:tcPr>
            <w:tcW w:type="dxa" w:w="3360"/>
          </w:tcPr>
          <w:p>
            <w:r>
              <w:t>Integrity protection</w:t>
            </w:r>
          </w:p>
        </w:tc>
      </w:tr>
      <w:tr>
        <w:tc>
          <w:tcPr>
            <w:tcW w:type="dxa" w:w="3360"/>
          </w:tcPr>
          <w:p>
            <w:r>
              <w:t>Internal</w:t>
            </w:r>
          </w:p>
        </w:tc>
        <w:tc>
          <w:tcPr>
            <w:tcW w:type="dxa" w:w="3360"/>
          </w:tcPr>
          <w:p>
            <w:r>
              <w:t>Internal procedures, architecture diagrams</w:t>
            </w:r>
          </w:p>
        </w:tc>
        <w:tc>
          <w:tcPr>
            <w:tcW w:type="dxa" w:w="3360"/>
          </w:tcPr>
          <w:p>
            <w:r>
              <w:t>Authenticated access</w:t>
            </w:r>
          </w:p>
        </w:tc>
      </w:tr>
      <w:tr>
        <w:tc>
          <w:tcPr>
            <w:tcW w:type="dxa" w:w="3360"/>
          </w:tcPr>
          <w:p>
            <w:r>
              <w:t>Confidential</w:t>
            </w:r>
          </w:p>
        </w:tc>
        <w:tc>
          <w:tcPr>
            <w:tcW w:type="dxa" w:w="3360"/>
          </w:tcPr>
          <w:p>
            <w:r>
              <w:t>Customer contracts, employee records</w:t>
            </w:r>
          </w:p>
        </w:tc>
        <w:tc>
          <w:tcPr>
            <w:tcW w:type="dxa" w:w="3360"/>
          </w:tcPr>
          <w:p>
            <w:r>
              <w:t>Encryption and need-to-know access</w:t>
            </w:r>
          </w:p>
        </w:tc>
      </w:tr>
      <w:tr>
        <w:tc>
          <w:tcPr>
            <w:tcW w:type="dxa" w:w="3360"/>
          </w:tcPr>
          <w:p>
            <w:r>
              <w:t>Restricted</w:t>
            </w:r>
          </w:p>
        </w:tc>
        <w:tc>
          <w:tcPr>
            <w:tcW w:type="dxa" w:w="3360"/>
          </w:tcPr>
          <w:p>
            <w:r>
              <w:t>Production credentials, payment data, security secrets</w:t>
            </w:r>
          </w:p>
        </w:tc>
        <w:tc>
          <w:tcPr>
            <w:tcW w:type="dxa" w:w="3360"/>
          </w:tcPr>
          <w:p>
            <w:r>
              <w:t>Strong encryption, MFA, strict access logging</w:t>
            </w:r>
          </w:p>
        </w:tc>
      </w:tr>
    </w:tbl>
    <w:p>
      <w:pPr>
        <w:pStyle w:val="Heading2"/>
      </w:pPr>
      <w:r>
        <w:t>2.4 Security incident response</w:t>
      </w:r>
    </w:p>
    <w:p>
      <w:r>
        <w:t>Employees must report suspected security incidents to the Security Operations channel in PulseDesk immediately and no later than 30 minutes after discovery. The on-call security engineer assigns an incident severity. Severity 1 incidents require an Incident Commander and executive notification within 30 minutes of confirmation.</w:t>
      </w:r>
    </w:p>
    <w:p>
      <w:r>
        <w:t>Security evidence related to a confirmed incident must be preserved for at least 180 days unless Legal requires a longer period.</w:t>
      </w:r>
    </w:p>
    <w:p>
      <w:r>
        <w:br w:type="page"/>
      </w:r>
    </w:p>
    <w:p>
      <w:pPr>
        <w:pStyle w:val="Heading1"/>
      </w:pPr>
      <w:r>
        <w:t>3. Data Governance, Retention, and Privacy</w:t>
      </w:r>
    </w:p>
    <w:p>
      <w:pPr>
        <w:pStyle w:val="Heading2"/>
      </w:pPr>
      <w:r>
        <w:t>3.1 Data ownership</w:t>
      </w:r>
    </w:p>
    <w:p>
      <w:r>
        <w:t>Every production dataset must have a named business owner and a technical custodian. The business owner determines the permitted business purpose. The technical custodian is responsible for implementation of storage, backup, access-control, and deletion mechanisms.</w:t>
      </w:r>
    </w:p>
    <w:tbl>
      <w:tblPr>
        <w:tblW w:type="auto" w:w="0"/>
        <w:jc w:val="center"/>
        <w:tblLook w:firstColumn="1" w:firstRow="1" w:lastColumn="0" w:lastRow="0" w:noHBand="0" w:noVBand="1" w:val="04A0"/>
      </w:tblPr>
      <w:tblGrid>
        <w:gridCol w:w="2520"/>
        <w:gridCol w:w="2520"/>
        <w:gridCol w:w="2520"/>
        <w:gridCol w:w="2520"/>
      </w:tblGrid>
      <w:tr>
        <w:tc>
          <w:tcPr>
            <w:tcW w:type="dxa" w:w="2520"/>
          </w:tcPr>
          <w:p>
            <w:r>
              <w:t>Data Type</w:t>
            </w:r>
          </w:p>
        </w:tc>
        <w:tc>
          <w:tcPr>
            <w:tcW w:type="dxa" w:w="2520"/>
          </w:tcPr>
          <w:p>
            <w:r>
              <w:t>System</w:t>
            </w:r>
          </w:p>
        </w:tc>
        <w:tc>
          <w:tcPr>
            <w:tcW w:type="dxa" w:w="2520"/>
          </w:tcPr>
          <w:p>
            <w:r>
              <w:t>Owner</w:t>
            </w:r>
          </w:p>
        </w:tc>
        <w:tc>
          <w:tcPr>
            <w:tcW w:type="dxa" w:w="2520"/>
          </w:tcPr>
          <w:p>
            <w:r>
              <w:t>Retention</w:t>
            </w:r>
          </w:p>
        </w:tc>
      </w:tr>
      <w:tr>
        <w:tc>
          <w:tcPr>
            <w:tcW w:type="dxa" w:w="2520"/>
          </w:tcPr>
          <w:p>
            <w:r>
              <w:t>Customer support tickets</w:t>
            </w:r>
          </w:p>
        </w:tc>
        <w:tc>
          <w:tcPr>
            <w:tcW w:type="dxa" w:w="2520"/>
          </w:tcPr>
          <w:p>
            <w:r>
              <w:t>PulseDesk</w:t>
            </w:r>
          </w:p>
        </w:tc>
        <w:tc>
          <w:tcPr>
            <w:tcW w:type="dxa" w:w="2520"/>
          </w:tcPr>
          <w:p>
            <w:r>
              <w:t>Customer Operations</w:t>
            </w:r>
          </w:p>
        </w:tc>
        <w:tc>
          <w:tcPr>
            <w:tcW w:type="dxa" w:w="2520"/>
          </w:tcPr>
          <w:p>
            <w:r>
              <w:t>24 months after closure</w:t>
            </w:r>
          </w:p>
        </w:tc>
      </w:tr>
      <w:tr>
        <w:tc>
          <w:tcPr>
            <w:tcW w:type="dxa" w:w="2520"/>
          </w:tcPr>
          <w:p>
            <w:r>
              <w:t>Customer analytics events</w:t>
            </w:r>
          </w:p>
        </w:tc>
        <w:tc>
          <w:tcPr>
            <w:tcW w:type="dxa" w:w="2520"/>
          </w:tcPr>
          <w:p>
            <w:r>
              <w:t>Atlas Data Lake</w:t>
            </w:r>
          </w:p>
        </w:tc>
        <w:tc>
          <w:tcPr>
            <w:tcW w:type="dxa" w:w="2520"/>
          </w:tcPr>
          <w:p>
            <w:r>
              <w:t>Data Platform</w:t>
            </w:r>
          </w:p>
        </w:tc>
        <w:tc>
          <w:tcPr>
            <w:tcW w:type="dxa" w:w="2520"/>
          </w:tcPr>
          <w:p>
            <w:r>
              <w:t>13 months</w:t>
            </w:r>
          </w:p>
        </w:tc>
      </w:tr>
      <w:tr>
        <w:tc>
          <w:tcPr>
            <w:tcW w:type="dxa" w:w="2520"/>
          </w:tcPr>
          <w:p>
            <w:r>
              <w:t>Employee records</w:t>
            </w:r>
          </w:p>
        </w:tc>
        <w:tc>
          <w:tcPr>
            <w:tcW w:type="dxa" w:w="2520"/>
          </w:tcPr>
          <w:p>
            <w:r>
              <w:t>People systems</w:t>
            </w:r>
          </w:p>
        </w:tc>
        <w:tc>
          <w:tcPr>
            <w:tcW w:type="dxa" w:w="2520"/>
          </w:tcPr>
          <w:p>
            <w:r>
              <w:t>People Operations</w:t>
            </w:r>
          </w:p>
        </w:tc>
        <w:tc>
          <w:tcPr>
            <w:tcW w:type="dxa" w:w="2520"/>
          </w:tcPr>
          <w:p>
            <w:r>
              <w:t>7 years after employment ends, subject to legal requirements</w:t>
            </w:r>
          </w:p>
        </w:tc>
      </w:tr>
      <w:tr>
        <w:tc>
          <w:tcPr>
            <w:tcW w:type="dxa" w:w="2520"/>
          </w:tcPr>
          <w:p>
            <w:r>
              <w:t>Security audit logs</w:t>
            </w:r>
          </w:p>
        </w:tc>
        <w:tc>
          <w:tcPr>
            <w:tcW w:type="dxa" w:w="2520"/>
          </w:tcPr>
          <w:p>
            <w:r>
              <w:t>Atlas Data Lake</w:t>
            </w:r>
          </w:p>
        </w:tc>
        <w:tc>
          <w:tcPr>
            <w:tcW w:type="dxa" w:w="2520"/>
          </w:tcPr>
          <w:p>
            <w:r>
              <w:t>Information Security</w:t>
            </w:r>
          </w:p>
        </w:tc>
        <w:tc>
          <w:tcPr>
            <w:tcW w:type="dxa" w:w="2520"/>
          </w:tcPr>
          <w:p>
            <w:r>
              <w:t>180 days</w:t>
            </w:r>
          </w:p>
        </w:tc>
      </w:tr>
      <w:tr>
        <w:tc>
          <w:tcPr>
            <w:tcW w:type="dxa" w:w="2520"/>
          </w:tcPr>
          <w:p>
            <w:r>
              <w:t>Billing records</w:t>
            </w:r>
          </w:p>
        </w:tc>
        <w:tc>
          <w:tcPr>
            <w:tcW w:type="dxa" w:w="2520"/>
          </w:tcPr>
          <w:p>
            <w:r>
              <w:t>LedgerOne</w:t>
            </w:r>
          </w:p>
        </w:tc>
        <w:tc>
          <w:tcPr>
            <w:tcW w:type="dxa" w:w="2520"/>
          </w:tcPr>
          <w:p>
            <w:r>
              <w:t>Finance</w:t>
            </w:r>
          </w:p>
        </w:tc>
        <w:tc>
          <w:tcPr>
            <w:tcW w:type="dxa" w:w="2520"/>
          </w:tcPr>
          <w:p>
            <w:r>
              <w:t>7 years</w:t>
            </w:r>
          </w:p>
        </w:tc>
      </w:tr>
    </w:tbl>
    <w:p>
      <w:pPr>
        <w:pStyle w:val="Heading2"/>
      </w:pPr>
      <w:r>
        <w:t>3.2 Data deletion</w:t>
      </w:r>
    </w:p>
    <w:p>
      <w:r>
        <w:t>Deletion requests must be recorded in the data-governance queue. The responsible system owner must identify active copies, backups, derived datasets, and downstream exports. A deletion operation is complete only after the owner records the completion date and evidence reference.</w:t>
      </w:r>
    </w:p>
    <w:p>
      <w:pPr>
        <w:pStyle w:val="Heading2"/>
      </w:pPr>
      <w:r>
        <w:t>3.3 Privacy controls</w:t>
      </w:r>
    </w:p>
    <w:p>
      <w:pPr>
        <w:pStyle w:val="ListBullet"/>
      </w:pPr>
      <w:r>
        <w:t>Personal data may be processed only for a documented business purpose.</w:t>
      </w:r>
    </w:p>
    <w:p>
      <w:pPr>
        <w:pStyle w:val="ListBullet"/>
      </w:pPr>
      <w:r>
        <w:t>Exports containing Confidential or Restricted data must use an approved encrypted transfer mechanism.</w:t>
      </w:r>
    </w:p>
    <w:p>
      <w:pPr>
        <w:pStyle w:val="ListBullet"/>
      </w:pPr>
      <w:r>
        <w:t>Customer data must not be copied to personal devices or unmanaged storage.</w:t>
      </w:r>
    </w:p>
    <w:p>
      <w:pPr>
        <w:pStyle w:val="ListBullet"/>
      </w:pPr>
      <w:r>
        <w:t>Production datasets used for development or testing must be masked or replaced with approved synthetic data unless a documented exception exists.</w:t>
      </w:r>
    </w:p>
    <w:p>
      <w:pPr>
        <w:pStyle w:val="Heading2"/>
      </w:pPr>
      <w:r>
        <w:t>3.4 Third-party data processors</w:t>
      </w:r>
    </w:p>
    <w:p>
      <w:r>
        <w:t>New processors handling customer Confidential or Restricted data require Information Security and Legal review before production use. The vendor record must include the processor name, data categories, processing purpose, region, contract status, and accountable business owner.</w:t>
      </w:r>
    </w:p>
    <w:p>
      <w:r>
        <w:br w:type="page"/>
      </w:r>
    </w:p>
    <w:p>
      <w:pPr>
        <w:pStyle w:val="Heading1"/>
      </w:pPr>
      <w:r>
        <w:t>4. Engineering, Change Management, and Service Operations</w:t>
      </w:r>
    </w:p>
    <w:p>
      <w:pPr>
        <w:pStyle w:val="Heading2"/>
      </w:pPr>
      <w:r>
        <w:t>4.1 Production deployment policy</w:t>
      </w:r>
    </w:p>
    <w:p>
      <w:r>
        <w:t>All production deployments to NovaCore must use the approved CI/CD pipeline. Direct changes to production hosts are prohibited except under an approved emergency procedure. Every deployment must have a change record, automated test result, deployment owner, rollback plan, and monitoring confirmation.</w:t>
      </w:r>
    </w:p>
    <w:p>
      <w:pPr>
        <w:pStyle w:val="Heading2"/>
      </w:pPr>
      <w:r>
        <w:t>4.2 Change classification</w:t>
      </w:r>
    </w:p>
    <w:tbl>
      <w:tblPr>
        <w:tblW w:type="auto" w:w="0"/>
        <w:jc w:val="center"/>
        <w:tblLook w:firstColumn="1" w:firstRow="1" w:lastColumn="0" w:lastRow="0" w:noHBand="0" w:noVBand="1" w:val="04A0"/>
      </w:tblPr>
      <w:tblGrid>
        <w:gridCol w:w="3360"/>
        <w:gridCol w:w="3360"/>
        <w:gridCol w:w="3360"/>
      </w:tblGrid>
      <w:tr>
        <w:tc>
          <w:tcPr>
            <w:tcW w:type="dxa" w:w="3360"/>
          </w:tcPr>
          <w:p>
            <w:r>
              <w:t>Change Class</w:t>
            </w:r>
          </w:p>
        </w:tc>
        <w:tc>
          <w:tcPr>
            <w:tcW w:type="dxa" w:w="3360"/>
          </w:tcPr>
          <w:p>
            <w:r>
              <w:t>Approval</w:t>
            </w:r>
          </w:p>
        </w:tc>
        <w:tc>
          <w:tcPr>
            <w:tcW w:type="dxa" w:w="3360"/>
          </w:tcPr>
          <w:p>
            <w:r>
              <w:t>Minimum Notice</w:t>
            </w:r>
          </w:p>
        </w:tc>
      </w:tr>
      <w:tr>
        <w:tc>
          <w:tcPr>
            <w:tcW w:type="dxa" w:w="3360"/>
          </w:tcPr>
          <w:p>
            <w:r>
              <w:t>Standard</w:t>
            </w:r>
          </w:p>
        </w:tc>
        <w:tc>
          <w:tcPr>
            <w:tcW w:type="dxa" w:w="3360"/>
          </w:tcPr>
          <w:p>
            <w:r>
              <w:t>Service owner</w:t>
            </w:r>
          </w:p>
        </w:tc>
        <w:tc>
          <w:tcPr>
            <w:tcW w:type="dxa" w:w="3360"/>
          </w:tcPr>
          <w:p>
            <w:r>
              <w:t>No additional notice when pre-approved</w:t>
            </w:r>
          </w:p>
        </w:tc>
      </w:tr>
      <w:tr>
        <w:tc>
          <w:tcPr>
            <w:tcW w:type="dxa" w:w="3360"/>
          </w:tcPr>
          <w:p>
            <w:r>
              <w:t>Normal</w:t>
            </w:r>
          </w:p>
        </w:tc>
        <w:tc>
          <w:tcPr>
            <w:tcW w:type="dxa" w:w="3360"/>
          </w:tcPr>
          <w:p>
            <w:r>
              <w:t>Service owner + change reviewer</w:t>
            </w:r>
          </w:p>
        </w:tc>
        <w:tc>
          <w:tcPr>
            <w:tcW w:type="dxa" w:w="3360"/>
          </w:tcPr>
          <w:p>
            <w:r>
              <w:t>At least 4 business hours</w:t>
            </w:r>
          </w:p>
        </w:tc>
      </w:tr>
      <w:tr>
        <w:tc>
          <w:tcPr>
            <w:tcW w:type="dxa" w:w="3360"/>
          </w:tcPr>
          <w:p>
            <w:r>
              <w:t>High Risk</w:t>
            </w:r>
          </w:p>
        </w:tc>
        <w:tc>
          <w:tcPr>
            <w:tcW w:type="dxa" w:w="3360"/>
          </w:tcPr>
          <w:p>
            <w:r>
              <w:t>Engineering owner + Information Security</w:t>
            </w:r>
          </w:p>
        </w:tc>
        <w:tc>
          <w:tcPr>
            <w:tcW w:type="dxa" w:w="3360"/>
          </w:tcPr>
          <w:p>
            <w:r>
              <w:t>At least 24 hours</w:t>
            </w:r>
          </w:p>
        </w:tc>
      </w:tr>
      <w:tr>
        <w:tc>
          <w:tcPr>
            <w:tcW w:type="dxa" w:w="3360"/>
          </w:tcPr>
          <w:p>
            <w:r>
              <w:t>Emergency</w:t>
            </w:r>
          </w:p>
        </w:tc>
        <w:tc>
          <w:tcPr>
            <w:tcW w:type="dxa" w:w="3360"/>
          </w:tcPr>
          <w:p>
            <w:r>
              <w:t>Incident Commander; retrospective review</w:t>
            </w:r>
          </w:p>
        </w:tc>
        <w:tc>
          <w:tcPr>
            <w:tcW w:type="dxa" w:w="3360"/>
          </w:tcPr>
          <w:p>
            <w:r>
              <w:t>Immediate, with review within 1 business day</w:t>
            </w:r>
          </w:p>
        </w:tc>
      </w:tr>
    </w:tbl>
    <w:p>
      <w:pPr>
        <w:pStyle w:val="Heading2"/>
      </w:pPr>
      <w:r>
        <w:t>4.3 Reliability and service levels</w:t>
      </w:r>
    </w:p>
    <w:p>
      <w:r>
        <w:t>NovaCore has a monthly availability target of 99.95%. The Platform Reliability team owns monitoring, alerting, capacity planning, and disaster-recovery exercises. A Severity 1 service outage requires customer-impact assessment within 15 minutes and an executive status update at least every 30 minutes until stabilization.</w:t>
      </w:r>
    </w:p>
    <w:p>
      <w:pPr>
        <w:pStyle w:val="Heading2"/>
      </w:pPr>
      <w:r>
        <w:t>4.4 Backup and disaster recovery</w:t>
      </w:r>
    </w:p>
    <w:p>
      <w:r>
        <w:t>Critical production databases are backed up daily, with encrypted backups retained for 35 days. A quarterly disaster-recovery exercise must verify restoration of a representative production workload. The target Recovery Point Objective (RPO) for NovaCore transactional data is 24 hours, and the target Recovery Time Objective (RTO) is 4 hours.</w:t>
      </w:r>
    </w:p>
    <w:p>
      <w:pPr>
        <w:pStyle w:val="Heading2"/>
      </w:pPr>
      <w:r>
        <w:t>4.5 Engineering security</w:t>
      </w:r>
    </w:p>
    <w:p>
      <w:r>
        <w:t>Dependencies must be scanned for known vulnerabilities before production release. Critical vulnerabilities in production dependencies require remediation or an approved risk exception within 7 calendar days. Secrets must be stored in the approved secrets-management system and must never be committed to source control.</w:t>
      </w:r>
    </w:p>
    <w:p>
      <w:r>
        <w:br w:type="page"/>
      </w:r>
    </w:p>
    <w:p>
      <w:pPr>
        <w:pStyle w:val="Heading1"/>
      </w:pPr>
      <w:r>
        <w:t>5. Support, Procurement, and Enterprise Decision Rules</w:t>
      </w:r>
    </w:p>
    <w:p>
      <w:pPr>
        <w:pStyle w:val="Heading2"/>
      </w:pPr>
      <w:r>
        <w:t>5.1 Customer support</w:t>
      </w:r>
    </w:p>
    <w:p>
      <w:r>
        <w:t>PulseDesk is the system of record for customer support. Customer-impacting Severity 1 tickets must be acknowledged within 15 minutes. Severity 2 tickets must be acknowledged within 2 business hours. Support agents must not request passwords, private keys, MFA codes, or other authentication secrets from customers.</w:t>
      </w:r>
    </w:p>
    <w:tbl>
      <w:tblPr>
        <w:tblW w:type="auto" w:w="0"/>
        <w:jc w:val="center"/>
        <w:tblLook w:firstColumn="1" w:firstRow="1" w:lastColumn="0" w:lastRow="0" w:noHBand="0" w:noVBand="1" w:val="04A0"/>
      </w:tblPr>
      <w:tblGrid>
        <w:gridCol w:w="3360"/>
        <w:gridCol w:w="3360"/>
        <w:gridCol w:w="3360"/>
      </w:tblGrid>
      <w:tr>
        <w:tc>
          <w:tcPr>
            <w:tcW w:type="dxa" w:w="3360"/>
          </w:tcPr>
          <w:p>
            <w:r>
              <w:t>Severity</w:t>
            </w:r>
          </w:p>
        </w:tc>
        <w:tc>
          <w:tcPr>
            <w:tcW w:type="dxa" w:w="3360"/>
          </w:tcPr>
          <w:p>
            <w:r>
              <w:t>Example</w:t>
            </w:r>
          </w:p>
        </w:tc>
        <w:tc>
          <w:tcPr>
            <w:tcW w:type="dxa" w:w="3360"/>
          </w:tcPr>
          <w:p>
            <w:r>
              <w:t>Initial Response Target</w:t>
            </w:r>
          </w:p>
        </w:tc>
      </w:tr>
      <w:tr>
        <w:tc>
          <w:tcPr>
            <w:tcW w:type="dxa" w:w="3360"/>
          </w:tcPr>
          <w:p>
            <w:r>
              <w:t>S1</w:t>
            </w:r>
          </w:p>
        </w:tc>
        <w:tc>
          <w:tcPr>
            <w:tcW w:type="dxa" w:w="3360"/>
          </w:tcPr>
          <w:p>
            <w:r>
              <w:t>Production outage affecting multiple customers</w:t>
            </w:r>
          </w:p>
        </w:tc>
        <w:tc>
          <w:tcPr>
            <w:tcW w:type="dxa" w:w="3360"/>
          </w:tcPr>
          <w:p>
            <w:r>
              <w:t>15 minutes</w:t>
            </w:r>
          </w:p>
        </w:tc>
      </w:tr>
      <w:tr>
        <w:tc>
          <w:tcPr>
            <w:tcW w:type="dxa" w:w="3360"/>
          </w:tcPr>
          <w:p>
            <w:r>
              <w:t>S2</w:t>
            </w:r>
          </w:p>
        </w:tc>
        <w:tc>
          <w:tcPr>
            <w:tcW w:type="dxa" w:w="3360"/>
          </w:tcPr>
          <w:p>
            <w:r>
              <w:t>Major feature unavailable with workaround</w:t>
            </w:r>
          </w:p>
        </w:tc>
        <w:tc>
          <w:tcPr>
            <w:tcW w:type="dxa" w:w="3360"/>
          </w:tcPr>
          <w:p>
            <w:r>
              <w:t>2 business hours</w:t>
            </w:r>
          </w:p>
        </w:tc>
      </w:tr>
      <w:tr>
        <w:tc>
          <w:tcPr>
            <w:tcW w:type="dxa" w:w="3360"/>
          </w:tcPr>
          <w:p>
            <w:r>
              <w:t>S3</w:t>
            </w:r>
          </w:p>
        </w:tc>
        <w:tc>
          <w:tcPr>
            <w:tcW w:type="dxa" w:w="3360"/>
          </w:tcPr>
          <w:p>
            <w:r>
              <w:t>Normal product defect or degraded behavior</w:t>
            </w:r>
          </w:p>
        </w:tc>
        <w:tc>
          <w:tcPr>
            <w:tcW w:type="dxa" w:w="3360"/>
          </w:tcPr>
          <w:p>
            <w:r>
              <w:t>1 business day</w:t>
            </w:r>
          </w:p>
        </w:tc>
      </w:tr>
      <w:tr>
        <w:tc>
          <w:tcPr>
            <w:tcW w:type="dxa" w:w="3360"/>
          </w:tcPr>
          <w:p>
            <w:r>
              <w:t>S4</w:t>
            </w:r>
          </w:p>
        </w:tc>
        <w:tc>
          <w:tcPr>
            <w:tcW w:type="dxa" w:w="3360"/>
          </w:tcPr>
          <w:p>
            <w:r>
              <w:t>Question, documentation request, minor issue</w:t>
            </w:r>
          </w:p>
        </w:tc>
        <w:tc>
          <w:tcPr>
            <w:tcW w:type="dxa" w:w="3360"/>
          </w:tcPr>
          <w:p>
            <w:r>
              <w:t>2 business days</w:t>
            </w:r>
          </w:p>
        </w:tc>
      </w:tr>
    </w:tbl>
    <w:p>
      <w:pPr>
        <w:pStyle w:val="Heading2"/>
      </w:pPr>
      <w:r>
        <w:t>5.2 Procurement and vendor risk</w:t>
      </w:r>
    </w:p>
    <w:p>
      <w:r>
        <w:t>Purchases above INR 500,000 require Finance approval. Purchases involving customer Restricted data additionally require Information Security review. A vendor with access to production customer data must have a current security assessment and an approved contract before access is provisioned.</w:t>
      </w:r>
    </w:p>
    <w:p>
      <w:pPr>
        <w:pStyle w:val="Heading2"/>
      </w:pPr>
      <w:r>
        <w:t>5.3 Enterprise approval matrix</w:t>
      </w:r>
    </w:p>
    <w:tbl>
      <w:tblPr>
        <w:tblW w:type="auto" w:w="0"/>
        <w:jc w:val="center"/>
        <w:tblLook w:firstColumn="1" w:firstRow="1" w:lastColumn="0" w:lastRow="0" w:noHBand="0" w:noVBand="1" w:val="04A0"/>
      </w:tblPr>
      <w:tblGrid>
        <w:gridCol w:w="3360"/>
        <w:gridCol w:w="3360"/>
        <w:gridCol w:w="3360"/>
      </w:tblGrid>
      <w:tr>
        <w:tc>
          <w:tcPr>
            <w:tcW w:type="dxa" w:w="3360"/>
          </w:tcPr>
          <w:p>
            <w:r>
              <w:t>Decision</w:t>
            </w:r>
          </w:p>
        </w:tc>
        <w:tc>
          <w:tcPr>
            <w:tcW w:type="dxa" w:w="3360"/>
          </w:tcPr>
          <w:p>
            <w:r>
              <w:t>Required Approver</w:t>
            </w:r>
          </w:p>
        </w:tc>
        <w:tc>
          <w:tcPr>
            <w:tcW w:type="dxa" w:w="3360"/>
          </w:tcPr>
          <w:p>
            <w:r>
              <w:t>Escalation</w:t>
            </w:r>
          </w:p>
        </w:tc>
      </w:tr>
      <w:tr>
        <w:tc>
          <w:tcPr>
            <w:tcW w:type="dxa" w:w="3360"/>
          </w:tcPr>
          <w:p>
            <w:r>
              <w:t>Production access</w:t>
            </w:r>
          </w:p>
        </w:tc>
        <w:tc>
          <w:tcPr>
            <w:tcW w:type="dxa" w:w="3360"/>
          </w:tcPr>
          <w:p>
            <w:r>
              <w:t>System Owner + Manager</w:t>
            </w:r>
          </w:p>
        </w:tc>
        <w:tc>
          <w:tcPr>
            <w:tcW w:type="dxa" w:w="3360"/>
          </w:tcPr>
          <w:p>
            <w:r>
              <w:t>CISO for exception</w:t>
            </w:r>
          </w:p>
        </w:tc>
      </w:tr>
      <w:tr>
        <w:tc>
          <w:tcPr>
            <w:tcW w:type="dxa" w:w="3360"/>
          </w:tcPr>
          <w:p>
            <w:r>
              <w:t>High-risk production change</w:t>
            </w:r>
          </w:p>
        </w:tc>
        <w:tc>
          <w:tcPr>
            <w:tcW w:type="dxa" w:w="3360"/>
          </w:tcPr>
          <w:p>
            <w:r>
              <w:t>Engineering Owner + Security</w:t>
            </w:r>
          </w:p>
        </w:tc>
        <w:tc>
          <w:tcPr>
            <w:tcW w:type="dxa" w:w="3360"/>
          </w:tcPr>
          <w:p>
            <w:r>
              <w:t>CTO for unresolved conflict</w:t>
            </w:r>
          </w:p>
        </w:tc>
      </w:tr>
      <w:tr>
        <w:tc>
          <w:tcPr>
            <w:tcW w:type="dxa" w:w="3360"/>
          </w:tcPr>
          <w:p>
            <w:r>
              <w:t>New customer-data processor</w:t>
            </w:r>
          </w:p>
        </w:tc>
        <w:tc>
          <w:tcPr>
            <w:tcW w:type="dxa" w:w="3360"/>
          </w:tcPr>
          <w:p>
            <w:r>
              <w:t>Business Owner + Security + Legal</w:t>
            </w:r>
          </w:p>
        </w:tc>
        <w:tc>
          <w:tcPr>
            <w:tcW w:type="dxa" w:w="3360"/>
          </w:tcPr>
          <w:p>
            <w:r>
              <w:t>CISO and General Counsel</w:t>
            </w:r>
          </w:p>
        </w:tc>
      </w:tr>
      <w:tr>
        <w:tc>
          <w:tcPr>
            <w:tcW w:type="dxa" w:w="3360"/>
          </w:tcPr>
          <w:p>
            <w:r>
              <w:t>Purchase &gt; INR 500,000</w:t>
            </w:r>
          </w:p>
        </w:tc>
        <w:tc>
          <w:tcPr>
            <w:tcW w:type="dxa" w:w="3360"/>
          </w:tcPr>
          <w:p>
            <w:r>
              <w:t>Finance</w:t>
            </w:r>
          </w:p>
        </w:tc>
        <w:tc>
          <w:tcPr>
            <w:tcW w:type="dxa" w:w="3360"/>
          </w:tcPr>
          <w:p>
            <w:r>
              <w:t>CFO</w:t>
            </w:r>
          </w:p>
        </w:tc>
      </w:tr>
      <w:tr>
        <w:tc>
          <w:tcPr>
            <w:tcW w:type="dxa" w:w="3360"/>
          </w:tcPr>
          <w:p>
            <w:r>
              <w:t>Security policy exception</w:t>
            </w:r>
          </w:p>
        </w:tc>
        <w:tc>
          <w:tcPr>
            <w:tcW w:type="dxa" w:w="3360"/>
          </w:tcPr>
          <w:p>
            <w:r>
              <w:t>CISO</w:t>
            </w:r>
          </w:p>
        </w:tc>
        <w:tc>
          <w:tcPr>
            <w:tcW w:type="dxa" w:w="3360"/>
          </w:tcPr>
          <w:p>
            <w:r>
              <w:t>Executive Risk Committee</w:t>
            </w:r>
          </w:p>
        </w:tc>
      </w:tr>
    </w:tbl>
    <w:p>
      <w:pPr>
        <w:pStyle w:val="Heading2"/>
      </w:pPr>
      <w:r>
        <w:t>5.4 Key contacts and ownership</w:t>
      </w:r>
    </w:p>
    <w:p>
      <w:pPr>
        <w:pStyle w:val="ListBullet"/>
      </w:pPr>
      <w:r>
        <w:t>Security incidents: Security Operations via PulseDesk; Incident Commander coordinates Severity 1 response.</w:t>
      </w:r>
    </w:p>
    <w:p>
      <w:pPr>
        <w:pStyle w:val="ListBullet"/>
      </w:pPr>
      <w:r>
        <w:t>Production reliability: Platform Reliability team; NovaCore service owner is Engineering.</w:t>
      </w:r>
    </w:p>
    <w:p>
      <w:pPr>
        <w:pStyle w:val="ListBullet"/>
      </w:pPr>
      <w:r>
        <w:t>Privacy and data governance: Data Platform and Legal jointly review high-risk processing.</w:t>
      </w:r>
    </w:p>
    <w:p>
      <w:pPr>
        <w:pStyle w:val="ListBullet"/>
      </w:pPr>
      <w:r>
        <w:t>Employee access and termination: People Operations with Information Security.</w:t>
      </w:r>
    </w:p>
    <w:p>
      <w:pPr>
        <w:pStyle w:val="ListBullet"/>
      </w:pPr>
      <w:r>
        <w:t>Financial controls: Finance; LedgerOne owner is Finance.</w:t>
      </w:r>
    </w:p>
    <w:p>
      <w:pPr>
        <w:pStyle w:val="Heading2"/>
      </w:pPr>
      <w:r>
        <w:t>6. Document Control</w:t>
      </w:r>
    </w:p>
    <w:p>
      <w:r>
        <w:t>This handbook is a fictional enterprise test artifact created for evaluating document ingestion, RAG retrieval, structured fact extraction, entity/relationship extraction, and knowledge-base question answering. It contains intentionally explicit relationships and policy thresholds to make extraction quality measurable.</w:t>
      </w:r>
    </w:p>
    <w:p>
      <w:r>
        <w:t>End of document.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ApexNova Technologies | Enterprise Knowledge Base Test Document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