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AtliQ Lead Capture and Follow-up Assistant</w:t>
      </w:r>
    </w:p>
    <w:p>
      <w:r>
        <w:rPr>
          <w:i/>
        </w:rPr>
        <w:t>Version 1.0 · 11 Oct 2026 · Pankaj Mehta, AI Product Manager</w:t>
      </w:r>
    </w:p>
    <w:tbl>
      <w:tblPr>
        <w:tblStyle w:val="TableGrid"/>
        <w:tblW w:type="auto" w:w="0"/>
        <w:jc w:val="center"/>
        <w:tblLook w:firstColumn="1" w:firstRow="1" w:lastColumn="0" w:lastRow="0" w:noHBand="0" w:noVBand="1" w:val="04A0"/>
      </w:tblPr>
      <w:tblGrid>
        <w:gridCol w:w="4819"/>
        <w:gridCol w:w="4819"/>
      </w:tblGrid>
      <w:tr>
        <w:tc>
          <w:tcPr>
            <w:tcW w:type="dxa" w:w="2268"/>
            <w:shd w:val="clear" w:color="auto" w:fill="2E75B6"/>
          </w:tcPr>
          <w:p>
            <w:r/>
            <w:r>
              <w:rPr>
                <w:b/>
                <w:color w:val="FFFFFF"/>
              </w:rPr>
              <w:t>Item</w:t>
            </w:r>
          </w:p>
        </w:tc>
        <w:tc>
          <w:tcPr>
            <w:tcW w:type="dxa" w:w="7370"/>
            <w:shd w:val="clear" w:color="auto" w:fill="2E75B6"/>
          </w:tcPr>
          <w:p>
            <w:r/>
            <w:r>
              <w:rPr>
                <w:b/>
                <w:color w:val="FFFFFF"/>
              </w:rPr>
              <w:t>Detail</w:t>
            </w:r>
          </w:p>
        </w:tc>
      </w:tr>
      <w:tr>
        <w:tc>
          <w:tcPr>
            <w:tcW w:type="dxa" w:w="2268"/>
          </w:tcPr>
          <w:p>
            <w:r>
              <w:rPr>
                <w:sz w:val="19"/>
              </w:rPr>
              <w:t>Status</w:t>
            </w:r>
          </w:p>
        </w:tc>
        <w:tc>
          <w:tcPr>
            <w:tcW w:type="dxa" w:w="7370"/>
          </w:tcPr>
          <w:p>
            <w:r>
              <w:rPr>
                <w:sz w:val="19"/>
              </w:rPr>
              <w:t>Describes the prototype as built and deployed (GitHub main, Railway)</w:t>
            </w:r>
          </w:p>
        </w:tc>
      </w:tr>
      <w:tr>
        <w:tc>
          <w:tcPr>
            <w:tcW w:type="dxa" w:w="2268"/>
          </w:tcPr>
          <w:p>
            <w:r>
              <w:rPr>
                <w:sz w:val="19"/>
              </w:rPr>
              <w:t>Related documents</w:t>
            </w:r>
          </w:p>
        </w:tc>
        <w:tc>
          <w:tcPr>
            <w:tcW w:type="dxa" w:w="7370"/>
          </w:tcPr>
          <w:p>
            <w:r>
              <w:rPr>
                <w:sz w:val="19"/>
              </w:rPr>
              <w:t>03 AI PRD v1.1 (requirements), 04 LLM Cost Estimate v1.1, 06 HAX Assessment</w:t>
            </w:r>
          </w:p>
        </w:tc>
      </w:tr>
      <w:tr>
        <w:tc>
          <w:tcPr>
            <w:tcW w:type="dxa" w:w="2268"/>
          </w:tcPr>
          <w:p>
            <w:r>
              <w:rPr>
                <w:sz w:val="19"/>
              </w:rPr>
              <w:t>Diagram format</w:t>
            </w:r>
          </w:p>
        </w:tc>
        <w:tc>
          <w:tcPr>
            <w:tcW w:type="dxa" w:w="7370"/>
          </w:tcPr>
          <w:p>
            <w:r>
              <w:rPr>
                <w:sz w:val="19"/>
              </w:rPr>
              <w:t>Archify v3.0.1 (github.com/tt-a1i/archify): typed JSON, validated and rendered to interactive HTML. The HTML files sit next to this document.</w:t>
            </w:r>
          </w:p>
        </w:tc>
      </w:tr>
      <w:tr>
        <w:tc>
          <w:tcPr>
            <w:tcW w:type="dxa" w:w="2268"/>
          </w:tcPr>
          <w:p>
            <w:r>
              <w:rPr>
                <w:sz w:val="19"/>
              </w:rPr>
              <w:t>Source code</w:t>
            </w:r>
          </w:p>
        </w:tc>
        <w:tc>
          <w:tcPr>
            <w:tcW w:type="dxa" w:w="7370"/>
          </w:tcPr>
          <w:p>
            <w:r>
              <w:rPr>
                <w:sz w:val="19"/>
              </w:rPr>
              <w:t>github.com/pankajmehta1827/AtliQ-Lead-Capture</w:t>
            </w:r>
          </w:p>
        </w:tc>
      </w:tr>
    </w:tbl>
    <w:p/>
    <w:p>
      <w:pPr>
        <w:pStyle w:val="Heading1"/>
      </w:pPr>
      <w:r>
        <w:t>1. Purpose and scope</w:t>
      </w:r>
    </w:p>
    <w:p>
      <w:r>
        <w:t>This document explains how the AtliQ Lead Assistant is built: its components, how a conversation becomes a CRM update, which AI models it calls and why, how data is stored and protected, and how it is deployed and measured. It is written for engineers who will extend the prototype and for reviewers who need to approve it for real client data. The product requirements (what and why) are in the AI PRD; this document covers the how.</w:t>
      </w:r>
    </w:p>
    <w:p>
      <w:pPr>
        <w:pStyle w:val="Heading1"/>
      </w:pPr>
      <w:r>
        <w:t>2. Context and design goals</w:t>
      </w:r>
    </w:p>
    <w:p>
      <w:r>
        <w:t>Sales owners at AtliQ talk to leads over email, meetings and LinkedIn, but the CRM is updated by hand and falls behind. The assistant reads those conversations, proposes the CRM change with evidence, and leaves the final decision to the owner.</w:t>
      </w:r>
    </w:p>
    <w:tbl>
      <w:tblPr>
        <w:tblStyle w:val="TableGrid"/>
        <w:tblW w:type="auto" w:w="0"/>
        <w:jc w:val="center"/>
        <w:tblLook w:firstColumn="1" w:firstRow="1" w:lastColumn="0" w:lastRow="0" w:noHBand="0" w:noVBand="1" w:val="04A0"/>
      </w:tblPr>
      <w:tblGrid>
        <w:gridCol w:w="4819"/>
        <w:gridCol w:w="4819"/>
      </w:tblGrid>
      <w:tr>
        <w:tc>
          <w:tcPr>
            <w:tcW w:type="dxa" w:w="2551"/>
            <w:shd w:val="clear" w:color="auto" w:fill="2E75B6"/>
          </w:tcPr>
          <w:p>
            <w:r/>
            <w:r>
              <w:rPr>
                <w:b/>
                <w:color w:val="FFFFFF"/>
              </w:rPr>
              <w:t>Goal</w:t>
            </w:r>
          </w:p>
        </w:tc>
        <w:tc>
          <w:tcPr>
            <w:tcW w:type="dxa" w:w="7087"/>
            <w:shd w:val="clear" w:color="auto" w:fill="2E75B6"/>
          </w:tcPr>
          <w:p>
            <w:r/>
            <w:r>
              <w:rPr>
                <w:b/>
                <w:color w:val="FFFFFF"/>
              </w:rPr>
              <w:t>How the design meets it</w:t>
            </w:r>
          </w:p>
        </w:tc>
      </w:tr>
      <w:tr>
        <w:tc>
          <w:tcPr>
            <w:tcW w:type="dxa" w:w="2551"/>
          </w:tcPr>
          <w:p>
            <w:r>
              <w:rPr>
                <w:sz w:val="19"/>
              </w:rPr>
              <w:t>Human stays in control</w:t>
            </w:r>
          </w:p>
        </w:tc>
        <w:tc>
          <w:tcPr>
            <w:tcW w:type="dxa" w:w="7087"/>
          </w:tcPr>
          <w:p>
            <w:r>
              <w:rPr>
                <w:sz w:val="19"/>
              </w:rPr>
              <w:t>The AI only writes drafts. Nothing reaches the deals table until the owner previews and confirms the change (review gate, HAX G16).</w:t>
            </w:r>
          </w:p>
        </w:tc>
      </w:tr>
      <w:tr>
        <w:tc>
          <w:tcPr>
            <w:tcW w:type="dxa" w:w="2551"/>
          </w:tcPr>
          <w:p>
            <w:r>
              <w:rPr>
                <w:sz w:val="19"/>
              </w:rPr>
              <w:t>Every field is traceable</w:t>
            </w:r>
          </w:p>
        </w:tc>
        <w:tc>
          <w:tcPr>
            <w:tcW w:type="dxa" w:w="7087"/>
          </w:tcPr>
          <w:p>
            <w:r>
              <w:rPr>
                <w:sz w:val="19"/>
              </w:rPr>
              <w:t>Each extracted field carries the quote it came from; fields without a matching quote are dropped at the grounding step.</w:t>
            </w:r>
          </w:p>
        </w:tc>
      </w:tr>
      <w:tr>
        <w:tc>
          <w:tcPr>
            <w:tcW w:type="dxa" w:w="2551"/>
          </w:tcPr>
          <w:p>
            <w:r>
              <w:rPr>
                <w:sz w:val="19"/>
              </w:rPr>
              <w:t>Private data stays private</w:t>
            </w:r>
          </w:p>
        </w:tc>
        <w:tc>
          <w:tcPr>
            <w:tcW w:type="dxa" w:w="7087"/>
          </w:tcPr>
          <w:p>
            <w:r>
              <w:rPr>
                <w:sz w:val="19"/>
              </w:rPr>
              <w:t>Exclusion rules run before anything else and wipe the body of skipped items; PII is masked before any LLM call.</w:t>
            </w:r>
          </w:p>
        </w:tc>
      </w:tr>
      <w:tr>
        <w:tc>
          <w:tcPr>
            <w:tcW w:type="dxa" w:w="2551"/>
          </w:tcPr>
          <w:p>
            <w:r>
              <w:rPr>
                <w:sz w:val="19"/>
              </w:rPr>
              <w:t>Low running cost</w:t>
            </w:r>
          </w:p>
        </w:tc>
        <w:tc>
          <w:tcPr>
            <w:tcW w:type="dxa" w:w="7087"/>
          </w:tcPr>
          <w:p>
            <w:r>
              <w:rPr>
                <w:sz w:val="19"/>
              </w:rPr>
              <w:t>Claude Haiku 5.5 at low effort for capture; the input is capped at 6,000 characters per call; Ask AI stays on Groq.</w:t>
            </w:r>
          </w:p>
        </w:tc>
      </w:tr>
      <w:tr>
        <w:tc>
          <w:tcPr>
            <w:tcW w:type="dxa" w:w="2551"/>
          </w:tcPr>
          <w:p>
            <w:r>
              <w:rPr>
                <w:sz w:val="19"/>
              </w:rPr>
              <w:t>Works without AI</w:t>
            </w:r>
          </w:p>
        </w:tc>
        <w:tc>
          <w:tcPr>
            <w:tcW w:type="dxa" w:w="7087"/>
          </w:tcPr>
          <w:p>
            <w:r>
              <w:rPr>
                <w:sz w:val="19"/>
              </w:rPr>
              <w:t>If no key is set, the same graph runs in rules mode, so the app keeps working.</w:t>
            </w:r>
          </w:p>
        </w:tc>
      </w:tr>
      <w:tr>
        <w:tc>
          <w:tcPr>
            <w:tcW w:type="dxa" w:w="2551"/>
          </w:tcPr>
          <w:p>
            <w:r>
              <w:rPr>
                <w:sz w:val="19"/>
              </w:rPr>
              <w:t>Simple to run</w:t>
            </w:r>
          </w:p>
        </w:tc>
        <w:tc>
          <w:tcPr>
            <w:tcW w:type="dxa" w:w="7087"/>
          </w:tcPr>
          <w:p>
            <w:r>
              <w:rPr>
                <w:sz w:val="19"/>
              </w:rPr>
              <w:t>One container (API, worker, scheduler and built frontend) plus PostgreSQL.</w:t>
            </w:r>
          </w:p>
        </w:tc>
      </w:tr>
    </w:tbl>
    <w:p/>
    <w:p>
      <w:pPr>
        <w:pStyle w:val="Heading1"/>
      </w:pPr>
      <w:r>
        <w:t>3. Architecture overview</w:t>
      </w:r>
    </w:p>
    <w:p>
      <w:r>
        <w:drawing>
          <wp:inline xmlns:a="http://schemas.openxmlformats.org/drawingml/2006/main" xmlns:pic="http://schemas.openxmlformats.org/drawingml/2006/picture">
            <wp:extent cx="6120000" cy="3538473"/>
            <wp:docPr id="1" name="Picture 1"/>
            <wp:cNvGraphicFramePr>
              <a:graphicFrameLocks noChangeAspect="1"/>
            </wp:cNvGraphicFramePr>
            <a:graphic>
              <a:graphicData uri="http://schemas.openxmlformats.org/drawingml/2006/picture">
                <pic:pic>
                  <pic:nvPicPr>
                    <pic:cNvPr id="0" name="crop-arch.png"/>
                    <pic:cNvPicPr/>
                  </pic:nvPicPr>
                  <pic:blipFill>
                    <a:blip r:embed="rId9"/>
                    <a:stretch>
                      <a:fillRect/>
                    </a:stretch>
                  </pic:blipFill>
                  <pic:spPr>
                    <a:xfrm>
                      <a:off x="0" y="0"/>
                      <a:ext cx="6120000" cy="3538473"/>
                    </a:xfrm>
                    <a:prstGeom prst="rect"/>
                  </pic:spPr>
                </pic:pic>
              </a:graphicData>
            </a:graphic>
          </wp:inline>
        </w:drawing>
      </w:r>
    </w:p>
    <w:p>
      <w:r>
        <w:rPr>
          <w:i/>
          <w:sz w:val="18"/>
        </w:rPr>
        <w:t>Figure 1. System overview (Archify architecture diagram, interactive version: 07a System Overview.html)</w:t>
      </w:r>
    </w:p>
    <w:p>
      <w:r>
        <w:t>The sales owner uses a React single-page app. It calls a FastAPI backend over REST with an access-code header. Conversations arrive through the API (mailbox sync, file upload or paste) and are stored as queued source items. A capture worker inside the same process picks them up and runs the LangGraph capture pipeline. That pipeline calls the LLM providers for structured JSON and writes drafts and audit entries to PostgreSQL. A reminder scheduler, also in-process, scans deals every 30 minutes and creates follow-up reminders.</w:t>
      </w:r>
    </w:p>
    <w:p>
      <w:pPr>
        <w:pStyle w:val="Heading2"/>
      </w:pPr>
      <w:r>
        <w:t>3.1 Components</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color="auto" w:fill="2E75B6"/>
          </w:tcPr>
          <w:p>
            <w:r/>
            <w:r>
              <w:rPr>
                <w:b/>
                <w:color w:val="FFFFFF"/>
              </w:rPr>
              <w:t>Component</w:t>
            </w:r>
          </w:p>
        </w:tc>
        <w:tc>
          <w:tcPr>
            <w:tcW w:type="dxa" w:w="2608"/>
            <w:shd w:val="clear" w:color="auto" w:fill="2E75B6"/>
          </w:tcPr>
          <w:p>
            <w:r/>
            <w:r>
              <w:rPr>
                <w:b/>
                <w:color w:val="FFFFFF"/>
              </w:rPr>
              <w:t>Technology</w:t>
            </w:r>
          </w:p>
        </w:tc>
        <w:tc>
          <w:tcPr>
            <w:tcW w:type="dxa" w:w="5102"/>
            <w:shd w:val="clear" w:color="auto" w:fill="2E75B6"/>
          </w:tcPr>
          <w:p>
            <w:r/>
            <w:r>
              <w:rPr>
                <w:b/>
                <w:color w:val="FFFFFF"/>
              </w:rPr>
              <w:t>Responsibility</w:t>
            </w:r>
          </w:p>
        </w:tc>
      </w:tr>
      <w:tr>
        <w:tc>
          <w:tcPr>
            <w:tcW w:type="dxa" w:w="1928"/>
          </w:tcPr>
          <w:p>
            <w:r>
              <w:rPr>
                <w:sz w:val="19"/>
              </w:rPr>
              <w:t>React SPA</w:t>
            </w:r>
          </w:p>
        </w:tc>
        <w:tc>
          <w:tcPr>
            <w:tcW w:type="dxa" w:w="2608"/>
          </w:tcPr>
          <w:p>
            <w:r>
              <w:rPr>
                <w:sz w:val="19"/>
              </w:rPr>
              <w:t>React + TypeScript, Vite</w:t>
            </w:r>
          </w:p>
        </w:tc>
        <w:tc>
          <w:tcPr>
            <w:tcW w:type="dxa" w:w="5102"/>
          </w:tcPr>
          <w:p>
            <w:r>
              <w:rPr>
                <w:sz w:val="19"/>
              </w:rPr>
              <w:t>10 pages: Dashboard, Capture, Review Queue, Pipeline, CRM, Deal detail, Reminders, Summary, Ask AI, Settings.</w:t>
            </w:r>
          </w:p>
        </w:tc>
      </w:tr>
      <w:tr>
        <w:tc>
          <w:tcPr>
            <w:tcW w:type="dxa" w:w="1928"/>
          </w:tcPr>
          <w:p>
            <w:r>
              <w:rPr>
                <w:sz w:val="19"/>
              </w:rPr>
              <w:t>FastAPI API</w:t>
            </w:r>
          </w:p>
        </w:tc>
        <w:tc>
          <w:tcPr>
            <w:tcW w:type="dxa" w:w="2608"/>
          </w:tcPr>
          <w:p>
            <w:r>
              <w:rPr>
                <w:sz w:val="19"/>
              </w:rPr>
              <w:t>FastAPI, Pydantic, uvicorn</w:t>
            </w:r>
          </w:p>
        </w:tc>
        <w:tc>
          <w:tcPr>
            <w:tcW w:type="dxa" w:w="5102"/>
          </w:tcPr>
          <w:p>
            <w:r>
              <w:rPr>
                <w:sz w:val="19"/>
              </w:rPr>
              <w:t>REST API under /api, access-code check, serves the built SPA and /health.</w:t>
            </w:r>
          </w:p>
        </w:tc>
      </w:tr>
      <w:tr>
        <w:tc>
          <w:tcPr>
            <w:tcW w:type="dxa" w:w="1928"/>
          </w:tcPr>
          <w:p>
            <w:r>
              <w:rPr>
                <w:sz w:val="19"/>
              </w:rPr>
              <w:t>Capture worker</w:t>
            </w:r>
          </w:p>
        </w:tc>
        <w:tc>
          <w:tcPr>
            <w:tcW w:type="dxa" w:w="2608"/>
          </w:tcPr>
          <w:p>
            <w:r>
              <w:rPr>
                <w:sz w:val="19"/>
              </w:rPr>
              <w:t>asyncio task + LangGraph StateGraph</w:t>
            </w:r>
          </w:p>
        </w:tc>
        <w:tc>
          <w:tcPr>
            <w:tcW w:type="dxa" w:w="5102"/>
          </w:tcPr>
          <w:p>
            <w:r>
              <w:rPr>
                <w:sz w:val="19"/>
              </w:rPr>
              <w:t>Polls every 5 s and processes up to 5 queued items per cycle, with retries and rate-limit back-off.</w:t>
            </w:r>
          </w:p>
        </w:tc>
      </w:tr>
      <w:tr>
        <w:tc>
          <w:tcPr>
            <w:tcW w:type="dxa" w:w="1928"/>
          </w:tcPr>
          <w:p>
            <w:r>
              <w:rPr>
                <w:sz w:val="19"/>
              </w:rPr>
              <w:t>Reminder scheduler</w:t>
            </w:r>
          </w:p>
        </w:tc>
        <w:tc>
          <w:tcPr>
            <w:tcW w:type="dxa" w:w="2608"/>
          </w:tcPr>
          <w:p>
            <w:r>
              <w:rPr>
                <w:sz w:val="19"/>
              </w:rPr>
              <w:t>asyncio task</w:t>
            </w:r>
          </w:p>
        </w:tc>
        <w:tc>
          <w:tcPr>
            <w:tcW w:type="dxa" w:w="5102"/>
          </w:tcPr>
          <w:p>
            <w:r>
              <w:rPr>
                <w:sz w:val="19"/>
              </w:rPr>
              <w:t>Every 30 min: creates rule-based reminders (commitment due, proposal unanswered 7 days, inactive 14 days, no next step).</w:t>
            </w:r>
          </w:p>
        </w:tc>
      </w:tr>
      <w:tr>
        <w:tc>
          <w:tcPr>
            <w:tcW w:type="dxa" w:w="1928"/>
          </w:tcPr>
          <w:p>
            <w:r>
              <w:rPr>
                <w:sz w:val="19"/>
              </w:rPr>
              <w:t>PostgreSQL</w:t>
            </w:r>
          </w:p>
        </w:tc>
        <w:tc>
          <w:tcPr>
            <w:tcW w:type="dxa" w:w="2608"/>
          </w:tcPr>
          <w:p>
            <w:r>
              <w:rPr>
                <w:sz w:val="19"/>
              </w:rPr>
              <w:t>SQLAlchemy 2 (SQLite locally)</w:t>
            </w:r>
          </w:p>
        </w:tc>
        <w:tc>
          <w:tcPr>
            <w:tcW w:type="dxa" w:w="5102"/>
          </w:tcPr>
          <w:p>
            <w:r>
              <w:rPr>
                <w:sz w:val="19"/>
              </w:rPr>
              <w:t>CRM tables, capture queue, drafts, reminders, audit log.</w:t>
            </w:r>
          </w:p>
        </w:tc>
      </w:tr>
      <w:tr>
        <w:tc>
          <w:tcPr>
            <w:tcW w:type="dxa" w:w="1928"/>
          </w:tcPr>
          <w:p>
            <w:r>
              <w:rPr>
                <w:sz w:val="19"/>
              </w:rPr>
              <w:t>LLM providers</w:t>
            </w:r>
          </w:p>
        </w:tc>
        <w:tc>
          <w:tcPr>
            <w:tcW w:type="dxa" w:w="2608"/>
          </w:tcPr>
          <w:p>
            <w:r>
              <w:rPr>
                <w:sz w:val="19"/>
              </w:rPr>
              <w:t>Anthropic SDK, LangChain ChatGroq</w:t>
            </w:r>
          </w:p>
        </w:tc>
        <w:tc>
          <w:tcPr>
            <w:tcW w:type="dxa" w:w="5102"/>
          </w:tcPr>
          <w:p>
            <w:r>
              <w:rPr>
                <w:sz w:val="19"/>
              </w:rPr>
              <w:t>Claude Haiku 5.5 for capture and email drafts; Groq gpt-oss-120b for Ask AI (and as the capture option).</w:t>
            </w:r>
          </w:p>
        </w:tc>
      </w:tr>
    </w:tbl>
    <w:p/>
    <w:p>
      <w:pPr>
        <w:pStyle w:val="Heading1"/>
      </w:pPr>
      <w:r>
        <w:t>4. Capture pipeline</w:t>
      </w:r>
    </w:p>
    <w:p>
      <w:r>
        <w:drawing>
          <wp:inline xmlns:a="http://schemas.openxmlformats.org/drawingml/2006/main" xmlns:pic="http://schemas.openxmlformats.org/drawingml/2006/picture">
            <wp:extent cx="6120000" cy="3939055"/>
            <wp:docPr id="2" name="Picture 2"/>
            <wp:cNvGraphicFramePr>
              <a:graphicFrameLocks noChangeAspect="1"/>
            </wp:cNvGraphicFramePr>
            <a:graphic>
              <a:graphicData uri="http://schemas.openxmlformats.org/drawingml/2006/picture">
                <pic:pic>
                  <pic:nvPicPr>
                    <pic:cNvPr id="0" name="crop-wf.png"/>
                    <pic:cNvPicPr/>
                  </pic:nvPicPr>
                  <pic:blipFill>
                    <a:blip r:embed="rId10"/>
                    <a:stretch>
                      <a:fillRect/>
                    </a:stretch>
                  </pic:blipFill>
                  <pic:spPr>
                    <a:xfrm>
                      <a:off x="0" y="0"/>
                      <a:ext cx="6120000" cy="3939055"/>
                    </a:xfrm>
                    <a:prstGeom prst="rect"/>
                  </pic:spPr>
                </pic:pic>
              </a:graphicData>
            </a:graphic>
          </wp:inline>
        </w:drawing>
      </w:r>
    </w:p>
    <w:p>
      <w:r>
        <w:rPr>
          <w:i/>
          <w:sz w:val="18"/>
        </w:rPr>
        <w:t>Figure 2. Capture pipeline nodes and branches (Archify workflow diagram, interactive version: 07b Capture Pipeline.html)</w:t>
      </w:r>
    </w:p>
    <w:p>
      <w:r>
        <w:t>The pipeline is a LangGraph StateGraph compiled once at start-up (backend/app/graph/pipeline.py). Each node reads and writes a shared state; conditional edges decide when to stop early.</w:t>
      </w:r>
    </w:p>
    <w:tbl>
      <w:tblPr>
        <w:tblStyle w:val="TableGrid"/>
        <w:tblW w:type="auto" w:w="0"/>
        <w:jc w:val="center"/>
        <w:tblLook w:firstColumn="1" w:firstRow="1" w:lastColumn="0" w:lastRow="0" w:noHBand="0" w:noVBand="1" w:val="04A0"/>
      </w:tblPr>
      <w:tblGrid>
        <w:gridCol w:w="3213"/>
        <w:gridCol w:w="3213"/>
        <w:gridCol w:w="3213"/>
      </w:tblGrid>
      <w:tr>
        <w:tc>
          <w:tcPr>
            <w:tcW w:type="dxa" w:w="1814"/>
            <w:shd w:val="clear" w:color="auto" w:fill="2E75B6"/>
          </w:tcPr>
          <w:p>
            <w:r/>
            <w:r>
              <w:rPr>
                <w:b/>
                <w:color w:val="FFFFFF"/>
              </w:rPr>
              <w:t>Step</w:t>
            </w:r>
          </w:p>
        </w:tc>
        <w:tc>
          <w:tcPr>
            <w:tcW w:type="dxa" w:w="907"/>
            <w:shd w:val="clear" w:color="auto" w:fill="2E75B6"/>
          </w:tcPr>
          <w:p>
            <w:r/>
            <w:r>
              <w:rPr>
                <w:b/>
                <w:color w:val="FFFFFF"/>
              </w:rPr>
              <w:t>Type</w:t>
            </w:r>
          </w:p>
        </w:tc>
        <w:tc>
          <w:tcPr>
            <w:tcW w:type="dxa" w:w="6917"/>
            <w:shd w:val="clear" w:color="auto" w:fill="2E75B6"/>
          </w:tcPr>
          <w:p>
            <w:r/>
            <w:r>
              <w:rPr>
                <w:b/>
                <w:color w:val="FFFFFF"/>
              </w:rPr>
              <w:t>What it does</w:t>
            </w:r>
          </w:p>
        </w:tc>
      </w:tr>
      <w:tr>
        <w:tc>
          <w:tcPr>
            <w:tcW w:type="dxa" w:w="1814"/>
          </w:tcPr>
          <w:p>
            <w:r>
              <w:rPr>
                <w:sz w:val="19"/>
              </w:rPr>
              <w:t>check_exclusions</w:t>
            </w:r>
          </w:p>
        </w:tc>
        <w:tc>
          <w:tcPr>
            <w:tcW w:type="dxa" w:w="907"/>
          </w:tcPr>
          <w:p>
            <w:r>
              <w:rPr>
                <w:sz w:val="19"/>
              </w:rPr>
              <w:t>Rule</w:t>
            </w:r>
          </w:p>
        </w:tc>
        <w:tc>
          <w:tcPr>
            <w:tcW w:type="dxa" w:w="6917"/>
          </w:tcPr>
          <w:p>
            <w:r>
              <w:rPr>
                <w:sz w:val="19"/>
              </w:rPr>
              <w:t>Matches sender email, domain, subject or keyword rules. A match ends the run as skipped and wipes the body.</w:t>
            </w:r>
          </w:p>
        </w:tc>
      </w:tr>
      <w:tr>
        <w:tc>
          <w:tcPr>
            <w:tcW w:type="dxa" w:w="1814"/>
          </w:tcPr>
          <w:p>
            <w:r>
              <w:rPr>
                <w:sz w:val="19"/>
              </w:rPr>
              <w:t>mask</w:t>
            </w:r>
          </w:p>
        </w:tc>
        <w:tc>
          <w:tcPr>
            <w:tcW w:type="dxa" w:w="907"/>
          </w:tcPr>
          <w:p>
            <w:r>
              <w:rPr>
                <w:sz w:val="19"/>
              </w:rPr>
              <w:t>Rule</w:t>
            </w:r>
          </w:p>
        </w:tc>
        <w:tc>
          <w:tcPr>
            <w:tcW w:type="dxa" w:w="6917"/>
          </w:tcPr>
          <w:p>
            <w:r>
              <w:rPr>
                <w:sz w:val="19"/>
              </w:rPr>
              <w:t>Replaces passwords, API keys, IBAN, bank account, IFSC, card, Aadhaar and PAN numbers with labels before any LLM call.</w:t>
            </w:r>
          </w:p>
        </w:tc>
      </w:tr>
      <w:tr>
        <w:tc>
          <w:tcPr>
            <w:tcW w:type="dxa" w:w="1814"/>
          </w:tcPr>
          <w:p>
            <w:r>
              <w:rPr>
                <w:sz w:val="19"/>
              </w:rPr>
              <w:t>classify</w:t>
            </w:r>
          </w:p>
        </w:tc>
        <w:tc>
          <w:tcPr>
            <w:tcW w:type="dxa" w:w="907"/>
          </w:tcPr>
          <w:p>
            <w:r>
              <w:rPr>
                <w:sz w:val="19"/>
              </w:rPr>
              <w:t>LLM</w:t>
            </w:r>
          </w:p>
        </w:tc>
        <w:tc>
          <w:tcPr>
            <w:tcW w:type="dxa" w:w="6917"/>
          </w:tcPr>
          <w:p>
            <w:r>
              <w:rPr>
                <w:sz w:val="19"/>
              </w:rPr>
              <w:t>New lead, existing deal, existing client, internal multi-deal note, or not sales. Not sales ends the run.</w:t>
            </w:r>
          </w:p>
        </w:tc>
      </w:tr>
      <w:tr>
        <w:tc>
          <w:tcPr>
            <w:tcW w:type="dxa" w:w="1814"/>
          </w:tcPr>
          <w:p>
            <w:r>
              <w:rPr>
                <w:sz w:val="19"/>
              </w:rPr>
              <w:t>extract</w:t>
            </w:r>
          </w:p>
        </w:tc>
        <w:tc>
          <w:tcPr>
            <w:tcW w:type="dxa" w:w="907"/>
          </w:tcPr>
          <w:p>
            <w:r>
              <w:rPr>
                <w:sz w:val="19"/>
              </w:rPr>
              <w:t>LLM</w:t>
            </w:r>
          </w:p>
        </w:tc>
        <w:tc>
          <w:tcPr>
            <w:tcW w:type="dxa" w:w="6917"/>
          </w:tcPr>
          <w:p>
            <w:r>
              <w:rPr>
                <w:sz w:val="19"/>
              </w:rPr>
              <w:t>Company, contact, service, requirement, value, owner, next step, each with value, evidence quote and confidence.</w:t>
            </w:r>
          </w:p>
        </w:tc>
      </w:tr>
      <w:tr>
        <w:tc>
          <w:tcPr>
            <w:tcW w:type="dxa" w:w="1814"/>
          </w:tcPr>
          <w:p>
            <w:r>
              <w:rPr>
                <w:sz w:val="19"/>
              </w:rPr>
              <w:t>multi_extract</w:t>
            </w:r>
          </w:p>
        </w:tc>
        <w:tc>
          <w:tcPr>
            <w:tcW w:type="dxa" w:w="907"/>
          </w:tcPr>
          <w:p>
            <w:r>
              <w:rPr>
                <w:sz w:val="19"/>
              </w:rPr>
              <w:t>LLM</w:t>
            </w:r>
          </w:p>
        </w:tc>
        <w:tc>
          <w:tcPr>
            <w:tcW w:type="dxa" w:w="6917"/>
          </w:tcPr>
          <w:p>
            <w:r>
              <w:rPr>
                <w:sz w:val="19"/>
              </w:rPr>
              <w:t>For internal notes that cover several deals: one draft per deal.</w:t>
            </w:r>
          </w:p>
        </w:tc>
      </w:tr>
      <w:tr>
        <w:tc>
          <w:tcPr>
            <w:tcW w:type="dxa" w:w="1814"/>
          </w:tcPr>
          <w:p>
            <w:r>
              <w:rPr>
                <w:sz w:val="19"/>
              </w:rPr>
              <w:t>ground</w:t>
            </w:r>
          </w:p>
        </w:tc>
        <w:tc>
          <w:tcPr>
            <w:tcW w:type="dxa" w:w="907"/>
          </w:tcPr>
          <w:p>
            <w:r>
              <w:rPr>
                <w:sz w:val="19"/>
              </w:rPr>
              <w:t>Rule</w:t>
            </w:r>
          </w:p>
        </w:tc>
        <w:tc>
          <w:tcPr>
            <w:tcW w:type="dxa" w:w="6917"/>
          </w:tcPr>
          <w:p>
            <w:r>
              <w:rPr>
                <w:sz w:val="19"/>
              </w:rPr>
              <w:t>Drops any field whose evidence quote is not found in the conversation.</w:t>
            </w:r>
          </w:p>
        </w:tc>
      </w:tr>
      <w:tr>
        <w:tc>
          <w:tcPr>
            <w:tcW w:type="dxa" w:w="1814"/>
          </w:tcPr>
          <w:p>
            <w:r>
              <w:rPr>
                <w:sz w:val="19"/>
              </w:rPr>
              <w:t>dates</w:t>
            </w:r>
          </w:p>
        </w:tc>
        <w:tc>
          <w:tcPr>
            <w:tcW w:type="dxa" w:w="907"/>
          </w:tcPr>
          <w:p>
            <w:r>
              <w:rPr>
                <w:sz w:val="19"/>
              </w:rPr>
              <w:t>LLM</w:t>
            </w:r>
          </w:p>
        </w:tc>
        <w:tc>
          <w:tcPr>
            <w:tcW w:type="dxa" w:w="6917"/>
          </w:tcPr>
          <w:p>
            <w:r>
              <w:rPr>
                <w:sz w:val="19"/>
              </w:rPr>
              <w:t>Turns 'next Tuesday' style commitments into dates against the message date.</w:t>
            </w:r>
          </w:p>
        </w:tc>
      </w:tr>
      <w:tr>
        <w:tc>
          <w:tcPr>
            <w:tcW w:type="dxa" w:w="1814"/>
          </w:tcPr>
          <w:p>
            <w:r>
              <w:rPr>
                <w:sz w:val="19"/>
              </w:rPr>
              <w:t>match</w:t>
            </w:r>
          </w:p>
        </w:tc>
        <w:tc>
          <w:tcPr>
            <w:tcW w:type="dxa" w:w="907"/>
          </w:tcPr>
          <w:p>
            <w:r>
              <w:rPr>
                <w:sz w:val="19"/>
              </w:rPr>
              <w:t>Rule</w:t>
            </w:r>
          </w:p>
        </w:tc>
        <w:tc>
          <w:tcPr>
            <w:tcW w:type="dxa" w:w="6917"/>
          </w:tcPr>
          <w:p>
            <w:r>
              <w:rPr>
                <w:sz w:val="19"/>
              </w:rPr>
              <w:t>Finds the company and open deal (domain, normalised name); flags duplicates.</w:t>
            </w:r>
          </w:p>
        </w:tc>
      </w:tr>
      <w:tr>
        <w:tc>
          <w:tcPr>
            <w:tcW w:type="dxa" w:w="1814"/>
          </w:tcPr>
          <w:p>
            <w:r>
              <w:rPr>
                <w:sz w:val="19"/>
              </w:rPr>
              <w:t>assess</w:t>
            </w:r>
          </w:p>
        </w:tc>
        <w:tc>
          <w:tcPr>
            <w:tcW w:type="dxa" w:w="907"/>
          </w:tcPr>
          <w:p>
            <w:r>
              <w:rPr>
                <w:sz w:val="19"/>
              </w:rPr>
              <w:t>Rule</w:t>
            </w:r>
          </w:p>
        </w:tc>
        <w:tc>
          <w:tcPr>
            <w:tcW w:type="dxa" w:w="6917"/>
          </w:tcPr>
          <w:p>
            <w:r>
              <w:rPr>
                <w:sz w:val="19"/>
              </w:rPr>
              <w:t>Scores confidence; drafts below 0.7 or with missing fields are marked needs review.</w:t>
            </w:r>
          </w:p>
        </w:tc>
      </w:tr>
      <w:tr>
        <w:tc>
          <w:tcPr>
            <w:tcW w:type="dxa" w:w="1814"/>
          </w:tcPr>
          <w:p>
            <w:r>
              <w:rPr>
                <w:sz w:val="19"/>
              </w:rPr>
              <w:t>crosssell</w:t>
            </w:r>
          </w:p>
        </w:tc>
        <w:tc>
          <w:tcPr>
            <w:tcW w:type="dxa" w:w="907"/>
          </w:tcPr>
          <w:p>
            <w:r>
              <w:rPr>
                <w:sz w:val="19"/>
              </w:rPr>
              <w:t>LLM</w:t>
            </w:r>
          </w:p>
        </w:tc>
        <w:tc>
          <w:tcPr>
            <w:tcW w:type="dxa" w:w="6917"/>
          </w:tcPr>
          <w:p>
            <w:r>
              <w:rPr>
                <w:sz w:val="19"/>
              </w:rPr>
              <w:t>For existing clients only: suggests other AtliQ services with a rationale.</w:t>
            </w:r>
          </w:p>
        </w:tc>
      </w:tr>
    </w:tbl>
    <w:p/>
    <w:p>
      <w:pPr>
        <w:pStyle w:val="Heading2"/>
      </w:pPr>
      <w:r>
        <w:t>4.1 AI provider design</w:t>
      </w:r>
    </w:p>
    <w:p>
      <w:r>
        <w:t>Each AI job is routed separately through settings, so a model can be swapped without code changes.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381"/>
            <w:shd w:val="clear" w:color="auto" w:fill="2E75B6"/>
          </w:tcPr>
          <w:p>
            <w:r/>
            <w:r>
              <w:rPr>
                <w:b/>
                <w:color w:val="FFFFFF"/>
              </w:rPr>
              <w:t>AI job</w:t>
            </w:r>
          </w:p>
        </w:tc>
        <w:tc>
          <w:tcPr>
            <w:tcW w:type="dxa" w:w="1928"/>
            <w:shd w:val="clear" w:color="auto" w:fill="2E75B6"/>
          </w:tcPr>
          <w:p>
            <w:r/>
            <w:r>
              <w:rPr>
                <w:b/>
                <w:color w:val="FFFFFF"/>
              </w:rPr>
              <w:t>Provider (live)</w:t>
            </w:r>
          </w:p>
        </w:tc>
        <w:tc>
          <w:tcPr>
            <w:tcW w:type="dxa" w:w="2381"/>
            <w:shd w:val="clear" w:color="auto" w:fill="2E75B6"/>
          </w:tcPr>
          <w:p>
            <w:r/>
            <w:r>
              <w:rPr>
                <w:b/>
                <w:color w:val="FFFFFF"/>
              </w:rPr>
              <w:t>Setting</w:t>
            </w:r>
          </w:p>
        </w:tc>
        <w:tc>
          <w:tcPr>
            <w:tcW w:type="dxa" w:w="2948"/>
            <w:shd w:val="clear" w:color="auto" w:fill="2E75B6"/>
          </w:tcPr>
          <w:p>
            <w:r/>
            <w:r>
              <w:rPr>
                <w:b/>
                <w:color w:val="FFFFFF"/>
              </w:rPr>
              <w:t>Notes</w:t>
            </w:r>
          </w:p>
        </w:tc>
      </w:tr>
      <w:tr>
        <w:tc>
          <w:tcPr>
            <w:tcW w:type="dxa" w:w="2381"/>
          </w:tcPr>
          <w:p>
            <w:r>
              <w:rPr>
                <w:sz w:val="19"/>
              </w:rPr>
              <w:t>Capture: classify, extract, dates, multi-deal, cross-sell</w:t>
            </w:r>
          </w:p>
        </w:tc>
        <w:tc>
          <w:tcPr>
            <w:tcW w:type="dxa" w:w="1928"/>
          </w:tcPr>
          <w:p>
            <w:r>
              <w:rPr>
                <w:sz w:val="19"/>
              </w:rPr>
              <w:t>Claude Haiku 5.5, effort low</w:t>
            </w:r>
          </w:p>
        </w:tc>
        <w:tc>
          <w:tcPr>
            <w:tcW w:type="dxa" w:w="2381"/>
          </w:tcPr>
          <w:p>
            <w:r>
              <w:rPr>
                <w:sz w:val="19"/>
              </w:rPr>
              <w:t>LLM_PROVIDER, CAPTURE_CLAUDE_MODEL / _EFFORT</w:t>
            </w:r>
          </w:p>
        </w:tc>
        <w:tc>
          <w:tcPr>
            <w:tcW w:type="dxa" w:w="2948"/>
          </w:tcPr>
          <w:p>
            <w:r>
              <w:rPr>
                <w:sz w:val="19"/>
              </w:rPr>
              <w:t>messages.parse with a Pydantic schema, so output is typed. A refusal becomes a clear item error.</w:t>
            </w:r>
          </w:p>
        </w:tc>
      </w:tr>
      <w:tr>
        <w:tc>
          <w:tcPr>
            <w:tcW w:type="dxa" w:w="2381"/>
          </w:tcPr>
          <w:p>
            <w:r>
              <w:rPr>
                <w:sz w:val="19"/>
              </w:rPr>
              <w:t>Email drafts</w:t>
            </w:r>
          </w:p>
        </w:tc>
        <w:tc>
          <w:tcPr>
            <w:tcW w:type="dxa" w:w="1928"/>
          </w:tcPr>
          <w:p>
            <w:r>
              <w:rPr>
                <w:sz w:val="19"/>
              </w:rPr>
              <w:t>Claude Haiku 5.5, effort low</w:t>
            </w:r>
          </w:p>
        </w:tc>
        <w:tc>
          <w:tcPr>
            <w:tcW w:type="dxa" w:w="2381"/>
          </w:tcPr>
          <w:p>
            <w:r>
              <w:rPr>
                <w:sz w:val="19"/>
              </w:rPr>
              <w:t>EMAIL_PROVIDER, EMAIL_CLAUDE_MODEL / _EFFORT</w:t>
            </w:r>
          </w:p>
        </w:tc>
        <w:tc>
          <w:tcPr>
            <w:tcW w:type="dxa" w:w="2948"/>
          </w:tcPr>
          <w:p>
            <w:r>
              <w:rPr>
                <w:sz w:val="19"/>
              </w:rPr>
              <w:t>On demand from the deal page. A refusal returns 'please draft it manually'.</w:t>
            </w:r>
          </w:p>
        </w:tc>
      </w:tr>
      <w:tr>
        <w:tc>
          <w:tcPr>
            <w:tcW w:type="dxa" w:w="2381"/>
          </w:tcPr>
          <w:p>
            <w:r>
              <w:rPr>
                <w:sz w:val="19"/>
              </w:rPr>
              <w:t>Ask AI (questions about the pipeline)</w:t>
            </w:r>
          </w:p>
        </w:tc>
        <w:tc>
          <w:tcPr>
            <w:tcW w:type="dxa" w:w="1928"/>
          </w:tcPr>
          <w:p>
            <w:r>
              <w:rPr>
                <w:sz w:val="19"/>
              </w:rPr>
              <w:t>Groq gpt-oss-120b</w:t>
            </w:r>
          </w:p>
        </w:tc>
        <w:tc>
          <w:tcPr>
            <w:tcW w:type="dxa" w:w="2381"/>
          </w:tcPr>
          <w:p>
            <w:r>
              <w:rPr>
                <w:sz w:val="19"/>
              </w:rPr>
              <w:t>GROQ_API_KEY, GROQ_MODEL</w:t>
            </w:r>
          </w:p>
        </w:tc>
        <w:tc>
          <w:tcPr>
            <w:tcW w:type="dxa" w:w="2948"/>
          </w:tcPr>
          <w:p>
            <w:r>
              <w:rPr>
                <w:sz w:val="19"/>
              </w:rPr>
              <w:t>Always Groq; answers only from CRM data passed in.</w:t>
            </w:r>
          </w:p>
        </w:tc>
      </w:tr>
      <w:tr>
        <w:tc>
          <w:tcPr>
            <w:tcW w:type="dxa" w:w="2381"/>
          </w:tcPr>
          <w:p>
            <w:r>
              <w:rPr>
                <w:sz w:val="19"/>
              </w:rPr>
              <w:t>No key set</w:t>
            </w:r>
          </w:p>
        </w:tc>
        <w:tc>
          <w:tcPr>
            <w:tcW w:type="dxa" w:w="1928"/>
          </w:tcPr>
          <w:p>
            <w:r>
              <w:rPr>
                <w:sz w:val="19"/>
              </w:rPr>
              <w:t>Rules mode</w:t>
            </w:r>
          </w:p>
        </w:tc>
        <w:tc>
          <w:tcPr>
            <w:tcW w:type="dxa" w:w="2381"/>
          </w:tcPr>
          <w:p>
            <w:r>
              <w:rPr>
                <w:sz w:val="19"/>
              </w:rPr>
              <w:t>-</w:t>
            </w:r>
          </w:p>
        </w:tc>
        <w:tc>
          <w:tcPr>
            <w:tcW w:type="dxa" w:w="2948"/>
          </w:tcPr>
          <w:p>
            <w:r>
              <w:rPr>
                <w:sz w:val="19"/>
              </w:rPr>
              <w:t>Heuristics replace LLM steps; the app still works.</w:t>
            </w:r>
          </w:p>
        </w:tc>
      </w:tr>
    </w:tbl>
    <w:p/>
    <w:p>
      <w:r>
        <w:t>The Claude client pins base_url to api.anthropic.com and uses its own setting names (CAPTURE_CLAUDE_*), so shell variables from developer tools cannot redirect or change it. Temperature is 0 for Groq calls.</w:t>
      </w:r>
    </w:p>
    <w:p>
      <w:pPr>
        <w:pStyle w:val="Heading1"/>
      </w:pPr>
      <w:r>
        <w:t>5. Data model</w:t>
      </w:r>
    </w:p>
    <w:p>
      <w:r>
        <w:t>Ten tables, created by SQLAlchemy on start-up. JSON columns hold the per-field evidence so the review screen can show where each value came from.</w:t>
      </w:r>
    </w:p>
    <w:tbl>
      <w:tblPr>
        <w:tblStyle w:val="TableGrid"/>
        <w:tblW w:type="auto" w:w="0"/>
        <w:jc w:val="center"/>
        <w:tblLook w:firstColumn="1" w:firstRow="1" w:lastColumn="0" w:lastRow="0" w:noHBand="0" w:noVBand="1" w:val="04A0"/>
      </w:tblPr>
      <w:tblGrid>
        <w:gridCol w:w="3213"/>
        <w:gridCol w:w="3213"/>
        <w:gridCol w:w="3213"/>
      </w:tblGrid>
      <w:tr>
        <w:tc>
          <w:tcPr>
            <w:tcW w:type="dxa" w:w="2041"/>
            <w:shd w:val="clear" w:color="auto" w:fill="2E75B6"/>
          </w:tcPr>
          <w:p>
            <w:r/>
            <w:r>
              <w:rPr>
                <w:b/>
                <w:color w:val="FFFFFF"/>
              </w:rPr>
              <w:t>Table</w:t>
            </w:r>
          </w:p>
        </w:tc>
        <w:tc>
          <w:tcPr>
            <w:tcW w:type="dxa" w:w="3061"/>
            <w:shd w:val="clear" w:color="auto" w:fill="2E75B6"/>
          </w:tcPr>
          <w:p>
            <w:r/>
            <w:r>
              <w:rPr>
                <w:b/>
                <w:color w:val="FFFFFF"/>
              </w:rPr>
              <w:t>Purpose</w:t>
            </w:r>
          </w:p>
        </w:tc>
        <w:tc>
          <w:tcPr>
            <w:tcW w:type="dxa" w:w="4535"/>
            <w:shd w:val="clear" w:color="auto" w:fill="2E75B6"/>
          </w:tcPr>
          <w:p>
            <w:r/>
            <w:r>
              <w:rPr>
                <w:b/>
                <w:color w:val="FFFFFF"/>
              </w:rPr>
              <w:t>Key columns</w:t>
            </w:r>
          </w:p>
        </w:tc>
      </w:tr>
      <w:tr>
        <w:tc>
          <w:tcPr>
            <w:tcW w:type="dxa" w:w="2041"/>
          </w:tcPr>
          <w:p>
            <w:r>
              <w:rPr>
                <w:sz w:val="19"/>
              </w:rPr>
              <w:t>companies</w:t>
            </w:r>
          </w:p>
        </w:tc>
        <w:tc>
          <w:tcPr>
            <w:tcW w:type="dxa" w:w="3061"/>
          </w:tcPr>
          <w:p>
            <w:r>
              <w:rPr>
                <w:sz w:val="19"/>
              </w:rPr>
              <w:t>Client and prospect companies</w:t>
            </w:r>
          </w:p>
        </w:tc>
        <w:tc>
          <w:tcPr>
            <w:tcW w:type="dxa" w:w="4535"/>
          </w:tcPr>
          <w:p>
            <w:r>
              <w:rPr>
                <w:sz w:val="19"/>
              </w:rPr>
              <w:t>name, normalized_name, domain</w:t>
            </w:r>
          </w:p>
        </w:tc>
      </w:tr>
      <w:tr>
        <w:tc>
          <w:tcPr>
            <w:tcW w:type="dxa" w:w="2041"/>
          </w:tcPr>
          <w:p>
            <w:r>
              <w:rPr>
                <w:sz w:val="19"/>
              </w:rPr>
              <w:t>contacts</w:t>
            </w:r>
          </w:p>
        </w:tc>
        <w:tc>
          <w:tcPr>
            <w:tcW w:type="dxa" w:w="3061"/>
          </w:tcPr>
          <w:p>
            <w:r>
              <w:rPr>
                <w:sz w:val="19"/>
              </w:rPr>
              <w:t>People at those companies</w:t>
            </w:r>
          </w:p>
        </w:tc>
        <w:tc>
          <w:tcPr>
            <w:tcW w:type="dxa" w:w="4535"/>
          </w:tcPr>
          <w:p>
            <w:r>
              <w:rPr>
                <w:sz w:val="19"/>
              </w:rPr>
              <w:t>company_id, name, email</w:t>
            </w:r>
          </w:p>
        </w:tc>
      </w:tr>
      <w:tr>
        <w:tc>
          <w:tcPr>
            <w:tcW w:type="dxa" w:w="2041"/>
          </w:tcPr>
          <w:p>
            <w:r>
              <w:rPr>
                <w:sz w:val="19"/>
              </w:rPr>
              <w:t>deals</w:t>
            </w:r>
          </w:p>
        </w:tc>
        <w:tc>
          <w:tcPr>
            <w:tcW w:type="dxa" w:w="3061"/>
          </w:tcPr>
          <w:p>
            <w:r>
              <w:rPr>
                <w:sz w:val="19"/>
              </w:rPr>
              <w:t>One lead or opportunity</w:t>
            </w:r>
          </w:p>
        </w:tc>
        <w:tc>
          <w:tcPr>
            <w:tcW w:type="dxa" w:w="4535"/>
          </w:tcPr>
          <w:p>
            <w:r>
              <w:rPr>
                <w:sz w:val="19"/>
              </w:rPr>
              <w:t>lead_code, status, est_value_usd, owner, next_followup_date, next_step</w:t>
            </w:r>
          </w:p>
        </w:tc>
      </w:tr>
      <w:tr>
        <w:tc>
          <w:tcPr>
            <w:tcW w:type="dxa" w:w="2041"/>
          </w:tcPr>
          <w:p>
            <w:r>
              <w:rPr>
                <w:sz w:val="19"/>
              </w:rPr>
              <w:t>source_items</w:t>
            </w:r>
          </w:p>
        </w:tc>
        <w:tc>
          <w:tcPr>
            <w:tcW w:type="dxa" w:w="3061"/>
          </w:tcPr>
          <w:p>
            <w:r>
              <w:rPr>
                <w:sz w:val="19"/>
              </w:rPr>
              <w:t>Captured conversations (the queue)</w:t>
            </w:r>
          </w:p>
        </w:tc>
        <w:tc>
          <w:tcPr>
            <w:tcW w:type="dxa" w:w="4535"/>
          </w:tcPr>
          <w:p>
            <w:r>
              <w:rPr>
                <w:sz w:val="19"/>
              </w:rPr>
              <w:t>channel, external_ref (unique), body, status, attempts, last_error</w:t>
            </w:r>
          </w:p>
        </w:tc>
      </w:tr>
      <w:tr>
        <w:tc>
          <w:tcPr>
            <w:tcW w:type="dxa" w:w="2041"/>
          </w:tcPr>
          <w:p>
            <w:r>
              <w:rPr>
                <w:sz w:val="19"/>
              </w:rPr>
              <w:t>drafts</w:t>
            </w:r>
          </w:p>
        </w:tc>
        <w:tc>
          <w:tcPr>
            <w:tcW w:type="dxa" w:w="3061"/>
          </w:tcPr>
          <w:p>
            <w:r>
              <w:rPr>
                <w:sz w:val="19"/>
              </w:rPr>
              <w:t>Proposed CRM writes awaiting review</w:t>
            </w:r>
          </w:p>
        </w:tc>
        <w:tc>
          <w:tcPr>
            <w:tcW w:type="dxa" w:w="4535"/>
          </w:tcPr>
          <w:p>
            <w:r>
              <w:rPr>
                <w:sz w:val="19"/>
              </w:rPr>
              <w:t>kind, fields (value, evidence, confidence), confidence, needs_review, status, owner, llm_mode</w:t>
            </w:r>
          </w:p>
        </w:tc>
      </w:tr>
      <w:tr>
        <w:tc>
          <w:tcPr>
            <w:tcW w:type="dxa" w:w="2041"/>
          </w:tcPr>
          <w:p>
            <w:r>
              <w:rPr>
                <w:sz w:val="19"/>
              </w:rPr>
              <w:t>deal_activities</w:t>
            </w:r>
          </w:p>
        </w:tc>
        <w:tc>
          <w:tcPr>
            <w:tcW w:type="dxa" w:w="3061"/>
          </w:tcPr>
          <w:p>
            <w:r>
              <w:rPr>
                <w:sz w:val="19"/>
              </w:rPr>
              <w:t>Timeline linking a deal to the conversation</w:t>
            </w:r>
          </w:p>
        </w:tc>
        <w:tc>
          <w:tcPr>
            <w:tcW w:type="dxa" w:w="4535"/>
          </w:tcPr>
          <w:p>
            <w:r>
              <w:rPr>
                <w:sz w:val="19"/>
              </w:rPr>
              <w:t>deal_id, source_item_id, draft_id, changes</w:t>
            </w:r>
          </w:p>
        </w:tc>
      </w:tr>
      <w:tr>
        <w:tc>
          <w:tcPr>
            <w:tcW w:type="dxa" w:w="2041"/>
          </w:tcPr>
          <w:p>
            <w:r>
              <w:rPr>
                <w:sz w:val="19"/>
              </w:rPr>
              <w:t>reminders</w:t>
            </w:r>
          </w:p>
        </w:tc>
        <w:tc>
          <w:tcPr>
            <w:tcW w:type="dxa" w:w="3061"/>
          </w:tcPr>
          <w:p>
            <w:r>
              <w:rPr>
                <w:sz w:val="19"/>
              </w:rPr>
              <w:t>Follow-ups for the owner</w:t>
            </w:r>
          </w:p>
        </w:tc>
        <w:tc>
          <w:tcPr>
            <w:tcW w:type="dxa" w:w="4535"/>
          </w:tcPr>
          <w:p>
            <w:r>
              <w:rPr>
                <w:sz w:val="19"/>
              </w:rPr>
              <w:t>deal_id, kind, due_date, evidence, status</w:t>
            </w:r>
          </w:p>
        </w:tc>
      </w:tr>
      <w:tr>
        <w:tc>
          <w:tcPr>
            <w:tcW w:type="dxa" w:w="2041"/>
          </w:tcPr>
          <w:p>
            <w:r>
              <w:rPr>
                <w:sz w:val="19"/>
              </w:rPr>
              <w:t>crosssell_suggestions</w:t>
            </w:r>
          </w:p>
        </w:tc>
        <w:tc>
          <w:tcPr>
            <w:tcW w:type="dxa" w:w="3061"/>
          </w:tcPr>
          <w:p>
            <w:r>
              <w:rPr>
                <w:sz w:val="19"/>
              </w:rPr>
              <w:t>Service ideas for existing clients</w:t>
            </w:r>
          </w:p>
        </w:tc>
        <w:tc>
          <w:tcPr>
            <w:tcW w:type="dxa" w:w="4535"/>
          </w:tcPr>
          <w:p>
            <w:r>
              <w:rPr>
                <w:sz w:val="19"/>
              </w:rPr>
              <w:t>deal_id, service, rationale, status</w:t>
            </w:r>
          </w:p>
        </w:tc>
      </w:tr>
      <w:tr>
        <w:tc>
          <w:tcPr>
            <w:tcW w:type="dxa" w:w="2041"/>
          </w:tcPr>
          <w:p>
            <w:r>
              <w:rPr>
                <w:sz w:val="19"/>
              </w:rPr>
              <w:t>exclusion_rules</w:t>
            </w:r>
          </w:p>
        </w:tc>
        <w:tc>
          <w:tcPr>
            <w:tcW w:type="dxa" w:w="3061"/>
          </w:tcPr>
          <w:p>
            <w:r>
              <w:rPr>
                <w:sz w:val="19"/>
              </w:rPr>
              <w:t>Senders or topics never to process</w:t>
            </w:r>
          </w:p>
        </w:tc>
        <w:tc>
          <w:tcPr>
            <w:tcW w:type="dxa" w:w="4535"/>
          </w:tcPr>
          <w:p>
            <w:r>
              <w:rPr>
                <w:sz w:val="19"/>
              </w:rPr>
              <w:t>rule_type, value</w:t>
            </w:r>
          </w:p>
        </w:tc>
      </w:tr>
      <w:tr>
        <w:tc>
          <w:tcPr>
            <w:tcW w:type="dxa" w:w="2041"/>
          </w:tcPr>
          <w:p>
            <w:r>
              <w:rPr>
                <w:sz w:val="19"/>
              </w:rPr>
              <w:t>audit_log</w:t>
            </w:r>
          </w:p>
        </w:tc>
        <w:tc>
          <w:tcPr>
            <w:tcW w:type="dxa" w:w="3061"/>
          </w:tcPr>
          <w:p>
            <w:r>
              <w:rPr>
                <w:sz w:val="19"/>
              </w:rPr>
              <w:t>Every action by a user or the assistant</w:t>
            </w:r>
          </w:p>
        </w:tc>
        <w:tc>
          <w:tcPr>
            <w:tcW w:type="dxa" w:w="4535"/>
          </w:tcPr>
          <w:p>
            <w:r>
              <w:rPr>
                <w:sz w:val="19"/>
              </w:rPr>
              <w:t>ts, actor, action, entity, outcome, details</w:t>
            </w:r>
          </w:p>
        </w:tc>
      </w:tr>
    </w:tbl>
    <w:p/>
    <w:p>
      <w:pPr>
        <w:pStyle w:val="Heading2"/>
      </w:pPr>
      <w:r>
        <w:t>5.1 State lifecycle</w:t>
      </w:r>
    </w:p>
    <w:p>
      <w:r>
        <w:drawing>
          <wp:inline xmlns:a="http://schemas.openxmlformats.org/drawingml/2006/main" xmlns:pic="http://schemas.openxmlformats.org/drawingml/2006/picture">
            <wp:extent cx="6120000" cy="3538473"/>
            <wp:docPr id="3" name="Picture 3"/>
            <wp:cNvGraphicFramePr>
              <a:graphicFrameLocks noChangeAspect="1"/>
            </wp:cNvGraphicFramePr>
            <a:graphic>
              <a:graphicData uri="http://schemas.openxmlformats.org/drawingml/2006/picture">
                <pic:pic>
                  <pic:nvPicPr>
                    <pic:cNvPr id="0" name="crop-lc.png"/>
                    <pic:cNvPicPr/>
                  </pic:nvPicPr>
                  <pic:blipFill>
                    <a:blip r:embed="rId11"/>
                    <a:stretch>
                      <a:fillRect/>
                    </a:stretch>
                  </pic:blipFill>
                  <pic:spPr>
                    <a:xfrm>
                      <a:off x="0" y="0"/>
                      <a:ext cx="6120000" cy="3538473"/>
                    </a:xfrm>
                    <a:prstGeom prst="rect"/>
                  </pic:spPr>
                </pic:pic>
              </a:graphicData>
            </a:graphic>
          </wp:inline>
        </w:drawing>
      </w:r>
    </w:p>
    <w:p>
      <w:r>
        <w:rPr>
          <w:i/>
          <w:sz w:val="18"/>
        </w:rPr>
        <w:t>Figure 3. Source item and draft states (Archify lifecycle diagram, interactive version: 07c Item and Draft Lifecycle.html)</w:t>
      </w:r>
    </w:p>
    <w:p>
      <w:pPr>
        <w:pStyle w:val="ListBullet"/>
      </w:pPr>
      <w:r>
        <w:t>Source item: queued → processing → processed, skipped (excluded or not sales, body wiped) or failed (after 3 attempts). Errors and rate limits return the item to the queue after a back-off that honours the provider's retry-after header.</w:t>
      </w:r>
    </w:p>
    <w:p>
      <w:pPr>
        <w:pStyle w:val="ListBullet"/>
      </w:pPr>
      <w:r>
        <w:t>Draft: pending → confirmed (writes the deal, a timeline activity, reminders and cross-sell ideas) or discarded (reason kept for evals). Re-running an item supersedes its old pending draft.</w:t>
      </w:r>
    </w:p>
    <w:p>
      <w:pPr>
        <w:pStyle w:val="ListBullet"/>
      </w:pPr>
      <w:r>
        <w:t>Preview is a dry run of confirm: it shows the exact change, then rolls back.</w:t>
      </w:r>
    </w:p>
    <w:p>
      <w:pPr>
        <w:pStyle w:val="Heading1"/>
      </w:pPr>
      <w:r>
        <w:t>6. API surface</w:t>
      </w:r>
    </w:p>
    <w:tbl>
      <w:tblPr>
        <w:tblStyle w:val="TableGrid"/>
        <w:tblW w:type="auto" w:w="0"/>
        <w:jc w:val="center"/>
        <w:tblLook w:firstColumn="1" w:firstRow="1" w:lastColumn="0" w:lastRow="0" w:noHBand="0" w:noVBand="1" w:val="04A0"/>
      </w:tblPr>
      <w:tblGrid>
        <w:gridCol w:w="3213"/>
        <w:gridCol w:w="3213"/>
        <w:gridCol w:w="3213"/>
      </w:tblGrid>
      <w:tr>
        <w:tc>
          <w:tcPr>
            <w:tcW w:type="dxa" w:w="1474"/>
            <w:shd w:val="clear" w:color="auto" w:fill="2E75B6"/>
          </w:tcPr>
          <w:p>
            <w:r/>
            <w:r>
              <w:rPr>
                <w:b/>
                <w:color w:val="FFFFFF"/>
              </w:rPr>
              <w:t>Router</w:t>
            </w:r>
          </w:p>
        </w:tc>
        <w:tc>
          <w:tcPr>
            <w:tcW w:type="dxa" w:w="1587"/>
            <w:shd w:val="clear" w:color="auto" w:fill="2E75B6"/>
          </w:tcPr>
          <w:p>
            <w:r/>
            <w:r>
              <w:rPr>
                <w:b/>
                <w:color w:val="FFFFFF"/>
              </w:rPr>
              <w:t>Prefix</w:t>
            </w:r>
          </w:p>
        </w:tc>
        <w:tc>
          <w:tcPr>
            <w:tcW w:type="dxa" w:w="6576"/>
            <w:shd w:val="clear" w:color="auto" w:fill="2E75B6"/>
          </w:tcPr>
          <w:p>
            <w:r/>
            <w:r>
              <w:rPr>
                <w:b/>
                <w:color w:val="FFFFFF"/>
              </w:rPr>
              <w:t>Main endpoints</w:t>
            </w:r>
          </w:p>
        </w:tc>
      </w:tr>
      <w:tr>
        <w:tc>
          <w:tcPr>
            <w:tcW w:type="dxa" w:w="1474"/>
          </w:tcPr>
          <w:p>
            <w:r>
              <w:rPr>
                <w:sz w:val="19"/>
              </w:rPr>
              <w:t>capture</w:t>
            </w:r>
          </w:p>
        </w:tc>
        <w:tc>
          <w:tcPr>
            <w:tcW w:type="dxa" w:w="1587"/>
          </w:tcPr>
          <w:p>
            <w:r>
              <w:rPr>
                <w:sz w:val="19"/>
              </w:rPr>
              <w:t>/api/capture</w:t>
            </w:r>
          </w:p>
        </w:tc>
        <w:tc>
          <w:tcPr>
            <w:tcW w:type="dxa" w:w="6576"/>
          </w:tcPr>
          <w:p>
            <w:r>
              <w:rPr>
                <w:sz w:val="19"/>
              </w:rPr>
              <w:t>POST '' (paste), /upload, /sample (mailbox sync), /process; GET /items; POST /items/{id}/retry; GET/POST /rerun</w:t>
            </w:r>
          </w:p>
        </w:tc>
      </w:tr>
      <w:tr>
        <w:tc>
          <w:tcPr>
            <w:tcW w:type="dxa" w:w="1474"/>
          </w:tcPr>
          <w:p>
            <w:r>
              <w:rPr>
                <w:sz w:val="19"/>
              </w:rPr>
              <w:t>drafts</w:t>
            </w:r>
          </w:p>
        </w:tc>
        <w:tc>
          <w:tcPr>
            <w:tcW w:type="dxa" w:w="1587"/>
          </w:tcPr>
          <w:p>
            <w:r>
              <w:rPr>
                <w:sz w:val="19"/>
              </w:rPr>
              <w:t>/api/drafts</w:t>
            </w:r>
          </w:p>
        </w:tc>
        <w:tc>
          <w:tcPr>
            <w:tcW w:type="dxa" w:w="6576"/>
          </w:tcPr>
          <w:p>
            <w:r>
              <w:rPr>
                <w:sz w:val="19"/>
              </w:rPr>
              <w:t>GET list and one; POST /{id}/preview, /{id}/confirm, /{id}/discard</w:t>
            </w:r>
          </w:p>
        </w:tc>
      </w:tr>
      <w:tr>
        <w:tc>
          <w:tcPr>
            <w:tcW w:type="dxa" w:w="1474"/>
          </w:tcPr>
          <w:p>
            <w:r>
              <w:rPr>
                <w:sz w:val="19"/>
              </w:rPr>
              <w:t>pipeline</w:t>
            </w:r>
          </w:p>
        </w:tc>
        <w:tc>
          <w:tcPr>
            <w:tcW w:type="dxa" w:w="1587"/>
          </w:tcPr>
          <w:p>
            <w:r>
              <w:rPr>
                <w:sz w:val="19"/>
              </w:rPr>
              <w:t>/api</w:t>
            </w:r>
          </w:p>
        </w:tc>
        <w:tc>
          <w:tcPr>
            <w:tcW w:type="dxa" w:w="6576"/>
          </w:tcPr>
          <w:p>
            <w:r>
              <w:rPr>
                <w:sz w:val="19"/>
              </w:rPr>
              <w:t>GET/PATCH /deals; /reminders (+ scan, resolve); /crosssell; /summary/daily</w:t>
            </w:r>
          </w:p>
        </w:tc>
      </w:tr>
      <w:tr>
        <w:tc>
          <w:tcPr>
            <w:tcW w:type="dxa" w:w="1474"/>
          </w:tcPr>
          <w:p>
            <w:r>
              <w:rPr>
                <w:sz w:val="19"/>
              </w:rPr>
              <w:t>crm</w:t>
            </w:r>
          </w:p>
        </w:tc>
        <w:tc>
          <w:tcPr>
            <w:tcW w:type="dxa" w:w="1587"/>
          </w:tcPr>
          <w:p>
            <w:r>
              <w:rPr>
                <w:sz w:val="19"/>
              </w:rPr>
              <w:t>/api/crm</w:t>
            </w:r>
          </w:p>
        </w:tc>
        <w:tc>
          <w:tcPr>
            <w:tcW w:type="dxa" w:w="6576"/>
          </w:tcPr>
          <w:p>
            <w:r>
              <w:rPr>
                <w:sz w:val="19"/>
              </w:rPr>
              <w:t>GET/POST /leads; GET /export; POST /import; GET /sync</w:t>
            </w:r>
          </w:p>
        </w:tc>
      </w:tr>
      <w:tr>
        <w:tc>
          <w:tcPr>
            <w:tcW w:type="dxa" w:w="1474"/>
          </w:tcPr>
          <w:p>
            <w:r>
              <w:rPr>
                <w:sz w:val="19"/>
              </w:rPr>
              <w:t>ai assist</w:t>
            </w:r>
          </w:p>
        </w:tc>
        <w:tc>
          <w:tcPr>
            <w:tcW w:type="dxa" w:w="1587"/>
          </w:tcPr>
          <w:p>
            <w:r>
              <w:rPr>
                <w:sz w:val="19"/>
              </w:rPr>
              <w:t>/api</w:t>
            </w:r>
          </w:p>
        </w:tc>
        <w:tc>
          <w:tcPr>
            <w:tcW w:type="dxa" w:w="6576"/>
          </w:tcPr>
          <w:p>
            <w:r>
              <w:rPr>
                <w:sz w:val="19"/>
              </w:rPr>
              <w:t>POST /deals/{id}/email-draft, /ask, /feedback</w:t>
            </w:r>
          </w:p>
        </w:tc>
      </w:tr>
      <w:tr>
        <w:tc>
          <w:tcPr>
            <w:tcW w:type="dxa" w:w="1474"/>
          </w:tcPr>
          <w:p>
            <w:r>
              <w:rPr>
                <w:sz w:val="19"/>
              </w:rPr>
              <w:t>admin</w:t>
            </w:r>
          </w:p>
        </w:tc>
        <w:tc>
          <w:tcPr>
            <w:tcW w:type="dxa" w:w="1587"/>
          </w:tcPr>
          <w:p>
            <w:r>
              <w:rPr>
                <w:sz w:val="19"/>
              </w:rPr>
              <w:t>/api</w:t>
            </w:r>
          </w:p>
        </w:tc>
        <w:tc>
          <w:tcPr>
            <w:tcW w:type="dxa" w:w="6576"/>
          </w:tcPr>
          <w:p>
            <w:r>
              <w:rPr>
                <w:sz w:val="19"/>
              </w:rPr>
              <w:t>GET /config, /me, /audit, /metrics; exclusions CRUD; POST /admin/processing</w:t>
            </w:r>
          </w:p>
        </w:tc>
      </w:tr>
    </w:tbl>
    <w:p/>
    <w:p>
      <w:r>
        <w:t>Every request needs the X-User header (the acting seller) and, when APP_ACCESS_CODE is set, a matching X-Access-Code header (constant-time compare).</w:t>
      </w:r>
    </w:p>
    <w:p>
      <w:pPr>
        <w:pStyle w:val="Heading1"/>
      </w:pPr>
      <w:r>
        <w:t>7. Security and privacy</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2E75B6"/>
          </w:tcPr>
          <w:p>
            <w:r/>
            <w:r>
              <w:rPr>
                <w:b/>
                <w:color w:val="FFFFFF"/>
              </w:rPr>
              <w:t>Risk</w:t>
            </w:r>
          </w:p>
        </w:tc>
        <w:tc>
          <w:tcPr>
            <w:tcW w:type="dxa" w:w="6520"/>
            <w:shd w:val="clear" w:color="auto" w:fill="2E75B6"/>
          </w:tcPr>
          <w:p>
            <w:r/>
            <w:r>
              <w:rPr>
                <w:b/>
                <w:color w:val="FFFFFF"/>
              </w:rPr>
              <w:t>Control</w:t>
            </w:r>
          </w:p>
        </w:tc>
      </w:tr>
      <w:tr>
        <w:tc>
          <w:tcPr>
            <w:tcW w:type="dxa" w:w="3118"/>
          </w:tcPr>
          <w:p>
            <w:r>
              <w:rPr>
                <w:sz w:val="19"/>
              </w:rPr>
              <w:t>Private or personal conversations processed</w:t>
            </w:r>
          </w:p>
        </w:tc>
        <w:tc>
          <w:tcPr>
            <w:tcW w:type="dxa" w:w="6520"/>
          </w:tcPr>
          <w:p>
            <w:r>
              <w:rPr>
                <w:sz w:val="19"/>
              </w:rPr>
              <w:t>Exclusion rules run first; skipped and non-sales items keep no body.</w:t>
            </w:r>
          </w:p>
        </w:tc>
      </w:tr>
      <w:tr>
        <w:tc>
          <w:tcPr>
            <w:tcW w:type="dxa" w:w="3118"/>
          </w:tcPr>
          <w:p>
            <w:r>
              <w:rPr>
                <w:sz w:val="19"/>
              </w:rPr>
              <w:t>Sensitive numbers sent to an AI provider</w:t>
            </w:r>
          </w:p>
        </w:tc>
        <w:tc>
          <w:tcPr>
            <w:tcW w:type="dxa" w:w="6520"/>
          </w:tcPr>
          <w:p>
            <w:r>
              <w:rPr>
                <w:sz w:val="19"/>
              </w:rPr>
              <w:t>Regex masking of 8 PII and secret types before any LLM call.</w:t>
            </w:r>
          </w:p>
        </w:tc>
      </w:tr>
      <w:tr>
        <w:tc>
          <w:tcPr>
            <w:tcW w:type="dxa" w:w="3118"/>
          </w:tcPr>
          <w:p>
            <w:r>
              <w:rPr>
                <w:sz w:val="19"/>
              </w:rPr>
              <w:t>AI writes wrong data to the CRM</w:t>
            </w:r>
          </w:p>
        </w:tc>
        <w:tc>
          <w:tcPr>
            <w:tcW w:type="dxa" w:w="6520"/>
          </w:tcPr>
          <w:p>
            <w:r>
              <w:rPr>
                <w:sz w:val="19"/>
              </w:rPr>
              <w:t>Drafts only; owner preview and confirm; evidence quote per field; grounding drops unsupported fields.</w:t>
            </w:r>
          </w:p>
        </w:tc>
      </w:tr>
      <w:tr>
        <w:tc>
          <w:tcPr>
            <w:tcW w:type="dxa" w:w="3118"/>
          </w:tcPr>
          <w:p>
            <w:r>
              <w:rPr>
                <w:sz w:val="19"/>
              </w:rPr>
              <w:t>Unauthorised access</w:t>
            </w:r>
          </w:p>
        </w:tc>
        <w:tc>
          <w:tcPr>
            <w:tcW w:type="dxa" w:w="6520"/>
          </w:tcPr>
          <w:p>
            <w:r>
              <w:rPr>
                <w:sz w:val="19"/>
              </w:rPr>
              <w:t>Shared access code over HTTPS (prototype). Replace with SSO before real client data.</w:t>
            </w:r>
          </w:p>
        </w:tc>
      </w:tr>
      <w:tr>
        <w:tc>
          <w:tcPr>
            <w:tcW w:type="dxa" w:w="3118"/>
          </w:tcPr>
          <w:p>
            <w:r>
              <w:rPr>
                <w:sz w:val="19"/>
              </w:rPr>
              <w:t>Secrets leaking</w:t>
            </w:r>
          </w:p>
        </w:tc>
        <w:tc>
          <w:tcPr>
            <w:tcW w:type="dxa" w:w="6520"/>
          </w:tcPr>
          <w:p>
            <w:r>
              <w:rPr>
                <w:sz w:val="19"/>
              </w:rPr>
              <w:t>Keys only in environment variables (Railway variables, local .env not committed).</w:t>
            </w:r>
          </w:p>
        </w:tc>
      </w:tr>
      <w:tr>
        <w:tc>
          <w:tcPr>
            <w:tcW w:type="dxa" w:w="3118"/>
          </w:tcPr>
          <w:p>
            <w:r>
              <w:rPr>
                <w:sz w:val="19"/>
              </w:rPr>
              <w:t>No accountability</w:t>
            </w:r>
          </w:p>
        </w:tc>
        <w:tc>
          <w:tcPr>
            <w:tcW w:type="dxa" w:w="6520"/>
          </w:tcPr>
          <w:p>
            <w:r>
              <w:rPr>
                <w:sz w:val="19"/>
              </w:rPr>
              <w:t>audit_log records every capture, confirm, discard, edit, reminder scan and AI feedback.</w:t>
            </w:r>
          </w:p>
        </w:tc>
      </w:tr>
    </w:tbl>
    <w:p/>
    <w:p>
      <w:pPr>
        <w:pStyle w:val="Heading1"/>
      </w:pPr>
      <w:r>
        <w:t>8. Reliability and error handling</w:t>
      </w:r>
    </w:p>
    <w:p>
      <w:pPr>
        <w:pStyle w:val="ListBullet"/>
      </w:pPr>
      <w:r>
        <w:t>Retries: an item that fails is re-queued up to 3 attempts, then marked failed with a friendly error the user can retry from the Capture page.</w:t>
      </w:r>
    </w:p>
    <w:p>
      <w:pPr>
        <w:pStyle w:val="ListBullet"/>
      </w:pPr>
      <w:r>
        <w:t>Rate limits: the worker pauses for the provider's retry-after time instead of failing items.</w:t>
      </w:r>
    </w:p>
    <w:p>
      <w:pPr>
        <w:pStyle w:val="ListBullet"/>
      </w:pPr>
      <w:r>
        <w:t>Refusals: a Claude refusal (stop_reason refusal) is reported as a clear error, never as an empty draft.</w:t>
      </w:r>
    </w:p>
    <w:p>
      <w:pPr>
        <w:pStyle w:val="ListBullet"/>
      </w:pPr>
      <w:r>
        <w:t>Idempotency: external_ref is unique, so syncing the same mailbox twice does not create duplicates.</w:t>
      </w:r>
    </w:p>
    <w:p>
      <w:pPr>
        <w:pStyle w:val="ListBullet"/>
      </w:pPr>
      <w:r>
        <w:t>Degraded mode: with no AI key the rules pipeline keeps capture running at lower quality.</w:t>
      </w:r>
    </w:p>
    <w:p>
      <w:pPr>
        <w:pStyle w:val="ListBullet"/>
      </w:pPr>
      <w:r>
        <w:t>Processing can be paused from Settings (POST /api/admin/processing) without stopping the app.</w:t>
      </w:r>
    </w:p>
    <w:p>
      <w:pPr>
        <w:pStyle w:val="Heading1"/>
      </w:pPr>
      <w:r>
        <w:t>9. Deployment and environments</w:t>
      </w:r>
    </w:p>
    <w:tbl>
      <w:tblPr>
        <w:tblStyle w:val="TableGrid"/>
        <w:tblW w:type="auto" w:w="0"/>
        <w:jc w:val="center"/>
        <w:tblLook w:firstColumn="1" w:firstRow="1" w:lastColumn="0" w:lastRow="0" w:noHBand="0" w:noVBand="1" w:val="04A0"/>
      </w:tblPr>
      <w:tblGrid>
        <w:gridCol w:w="3213"/>
        <w:gridCol w:w="3213"/>
        <w:gridCol w:w="3213"/>
      </w:tblGrid>
      <w:tr>
        <w:tc>
          <w:tcPr>
            <w:tcW w:type="dxa" w:w="2041"/>
            <w:shd w:val="clear" w:color="auto" w:fill="2E75B6"/>
          </w:tcPr>
          <w:p>
            <w:r/>
            <w:r>
              <w:rPr>
                <w:b/>
                <w:color w:val="FFFFFF"/>
              </w:rPr>
              <w:t>Environment</w:t>
            </w:r>
          </w:p>
        </w:tc>
        <w:tc>
          <w:tcPr>
            <w:tcW w:type="dxa" w:w="5102"/>
            <w:shd w:val="clear" w:color="auto" w:fill="2E75B6"/>
          </w:tcPr>
          <w:p>
            <w:r/>
            <w:r>
              <w:rPr>
                <w:b/>
                <w:color w:val="FFFFFF"/>
              </w:rPr>
              <w:t>How it runs</w:t>
            </w:r>
          </w:p>
        </w:tc>
        <w:tc>
          <w:tcPr>
            <w:tcW w:type="dxa" w:w="2494"/>
            <w:shd w:val="clear" w:color="auto" w:fill="2E75B6"/>
          </w:tcPr>
          <w:p>
            <w:r/>
            <w:r>
              <w:rPr>
                <w:b/>
                <w:color w:val="FFFFFF"/>
              </w:rPr>
              <w:t>Database</w:t>
            </w:r>
          </w:p>
        </w:tc>
      </w:tr>
      <w:tr>
        <w:tc>
          <w:tcPr>
            <w:tcW w:type="dxa" w:w="2041"/>
          </w:tcPr>
          <w:p>
            <w:r>
              <w:rPr>
                <w:sz w:val="19"/>
              </w:rPr>
              <w:t>Local, no Docker</w:t>
            </w:r>
          </w:p>
        </w:tc>
        <w:tc>
          <w:tcPr>
            <w:tcW w:type="dxa" w:w="5102"/>
          </w:tcPr>
          <w:p>
            <w:r>
              <w:rPr>
                <w:sz w:val="19"/>
              </w:rPr>
              <w:t>python backend/run_local.py (API + built frontend)</w:t>
            </w:r>
          </w:p>
        </w:tc>
        <w:tc>
          <w:tcPr>
            <w:tcW w:type="dxa" w:w="2494"/>
          </w:tcPr>
          <w:p>
            <w:r>
              <w:rPr>
                <w:sz w:val="19"/>
              </w:rPr>
              <w:t>SQLite file</w:t>
            </w:r>
          </w:p>
        </w:tc>
      </w:tr>
      <w:tr>
        <w:tc>
          <w:tcPr>
            <w:tcW w:type="dxa" w:w="2041"/>
          </w:tcPr>
          <w:p>
            <w:r>
              <w:rPr>
                <w:sz w:val="19"/>
              </w:rPr>
              <w:t>Local, Docker</w:t>
            </w:r>
          </w:p>
        </w:tc>
        <w:tc>
          <w:tcPr>
            <w:tcW w:type="dxa" w:w="5102"/>
          </w:tcPr>
          <w:p>
            <w:r>
              <w:rPr>
                <w:sz w:val="19"/>
              </w:rPr>
              <w:t>docker compose up (app + postgres)</w:t>
            </w:r>
          </w:p>
        </w:tc>
        <w:tc>
          <w:tcPr>
            <w:tcW w:type="dxa" w:w="2494"/>
          </w:tcPr>
          <w:p>
            <w:r>
              <w:rPr>
                <w:sz w:val="19"/>
              </w:rPr>
              <w:t>PostgreSQL container</w:t>
            </w:r>
          </w:p>
        </w:tc>
      </w:tr>
      <w:tr>
        <w:tc>
          <w:tcPr>
            <w:tcW w:type="dxa" w:w="2041"/>
          </w:tcPr>
          <w:p>
            <w:r>
              <w:rPr>
                <w:sz w:val="19"/>
              </w:rPr>
              <w:t>Production prototype</w:t>
            </w:r>
          </w:p>
        </w:tc>
        <w:tc>
          <w:tcPr>
            <w:tcW w:type="dxa" w:w="5102"/>
          </w:tcPr>
          <w:p>
            <w:r>
              <w:rPr>
                <w:sz w:val="19"/>
              </w:rPr>
              <w:t>Railway service AtliQ-Lead-Capture, auto-deploys from GitHub main via the Dockerfile</w:t>
            </w:r>
          </w:p>
        </w:tc>
        <w:tc>
          <w:tcPr>
            <w:tcW w:type="dxa" w:w="2494"/>
          </w:tcPr>
          <w:p>
            <w:r>
              <w:rPr>
                <w:sz w:val="19"/>
              </w:rPr>
              <w:t>Railway PostgreSQL</w:t>
            </w:r>
          </w:p>
        </w:tc>
      </w:tr>
    </w:tbl>
    <w:p/>
    <w:p>
      <w:r>
        <w:t>The Dockerfile builds the frontend and serves it from FastAPI, so there is one service to deploy. Configuration is environment variables only (see .env.example).</w:t>
      </w:r>
    </w:p>
    <w:p>
      <w:r>
        <w:rPr>
          <w:b/>
        </w:rPr>
        <w:t xml:space="preserve">Live demo: </w:t>
      </w:r>
      <w:hyperlink r:id="rId12">
        <w:r>
          <w:rPr>
            <w:color w:val="0563C1"/>
            <w:u w:val="single"/>
          </w:rPr>
          <w:t>https://atliq-lead-capture-production.up.railway.app</w:t>
        </w:r>
      </w:hyperlink>
    </w:p>
    <w:p>
      <w:pPr>
        <w:pStyle w:val="Heading1"/>
      </w:pPr>
      <w:r>
        <w:t>10. Observability and evaluation</w:t>
      </w:r>
    </w:p>
    <w:p>
      <w:pPr>
        <w:pStyle w:val="ListBullet"/>
      </w:pPr>
      <w:r>
        <w:t>GET /health for uptime checks; start-up log shows which provider handles capture, email drafts and Ask AI.</w:t>
      </w:r>
    </w:p>
    <w:p>
      <w:pPr>
        <w:pStyle w:val="ListBullet"/>
      </w:pPr>
      <w:r>
        <w:t>GET /api/metrics: North Star (new leads confirmed within 24 hours with source, requirement and next step), minor-edit rate on confirmed drafts, open deals with a next step, inactive deals and review-queue age.</w:t>
      </w:r>
    </w:p>
    <w:p>
      <w:pPr>
        <w:pStyle w:val="ListBullet"/>
      </w:pPr>
      <w:r>
        <w:t>AI feedback (thumbs up or down) is stored in audit_log as ai_feedback.</w:t>
      </w:r>
    </w:p>
    <w:p>
      <w:pPr>
        <w:pStyle w:val="ListBullet"/>
      </w:pPr>
      <w:r>
        <w:t>Golden eval set: 65 labelled conversations and 12 Ask AI questions, run through the production path by backend/evals/run_golden.py (rules or LLM mode, resumable).</w:t>
      </w:r>
    </w:p>
    <w:tbl>
      <w:tblPr>
        <w:tblStyle w:val="TableGrid"/>
        <w:tblW w:type="auto" w:w="0"/>
        <w:jc w:val="center"/>
        <w:tblLook w:firstColumn="1" w:firstRow="1" w:lastColumn="0" w:lastRow="0" w:noHBand="0" w:noVBand="1" w:val="04A0"/>
      </w:tblPr>
      <w:tblGrid>
        <w:gridCol w:w="3213"/>
        <w:gridCol w:w="3213"/>
        <w:gridCol w:w="3213"/>
      </w:tblGrid>
      <w:tr>
        <w:tc>
          <w:tcPr>
            <w:tcW w:type="dxa" w:w="4535"/>
            <w:shd w:val="clear" w:color="auto" w:fill="2E75B6"/>
          </w:tcPr>
          <w:p>
            <w:r/>
            <w:r>
              <w:rPr>
                <w:b/>
                <w:color w:val="FFFFFF"/>
              </w:rPr>
              <w:t>Eval measure (Groq run, 41 of 65)</w:t>
            </w:r>
          </w:p>
        </w:tc>
        <w:tc>
          <w:tcPr>
            <w:tcW w:type="dxa" w:w="2551"/>
            <w:shd w:val="clear" w:color="auto" w:fill="2E75B6"/>
          </w:tcPr>
          <w:p>
            <w:r/>
            <w:r>
              <w:rPr>
                <w:b/>
                <w:color w:val="FFFFFF"/>
              </w:rPr>
              <w:t>Result</w:t>
            </w:r>
          </w:p>
        </w:tc>
        <w:tc>
          <w:tcPr>
            <w:tcW w:type="dxa" w:w="2551"/>
            <w:shd w:val="clear" w:color="auto" w:fill="2E75B6"/>
          </w:tcPr>
          <w:p>
            <w:r/>
            <w:r>
              <w:rPr>
                <w:b/>
                <w:color w:val="FFFFFF"/>
              </w:rPr>
              <w:t>Target</w:t>
            </w:r>
          </w:p>
        </w:tc>
      </w:tr>
      <w:tr>
        <w:tc>
          <w:tcPr>
            <w:tcW w:type="dxa" w:w="4535"/>
          </w:tcPr>
          <w:p>
            <w:r>
              <w:rPr>
                <w:sz w:val="19"/>
              </w:rPr>
              <w:t>Sales detection precision / recall</w:t>
            </w:r>
          </w:p>
        </w:tc>
        <w:tc>
          <w:tcPr>
            <w:tcW w:type="dxa" w:w="2551"/>
          </w:tcPr>
          <w:p>
            <w:r>
              <w:rPr>
                <w:sz w:val="19"/>
              </w:rPr>
              <w:t>97.2% / 100%</w:t>
            </w:r>
          </w:p>
        </w:tc>
        <w:tc>
          <w:tcPr>
            <w:tcW w:type="dxa" w:w="2551"/>
          </w:tcPr>
          <w:p>
            <w:r>
              <w:rPr>
                <w:sz w:val="19"/>
              </w:rPr>
              <w:t>≥ 95%</w:t>
            </w:r>
          </w:p>
        </w:tc>
      </w:tr>
      <w:tr>
        <w:tc>
          <w:tcPr>
            <w:tcW w:type="dxa" w:w="4535"/>
          </w:tcPr>
          <w:p>
            <w:r>
              <w:rPr>
                <w:sz w:val="19"/>
              </w:rPr>
              <w:t>CRM matching (wrong merges)</w:t>
            </w:r>
          </w:p>
        </w:tc>
        <w:tc>
          <w:tcPr>
            <w:tcW w:type="dxa" w:w="2551"/>
          </w:tcPr>
          <w:p>
            <w:r>
              <w:rPr>
                <w:sz w:val="19"/>
              </w:rPr>
              <w:t>100% (0)</w:t>
            </w:r>
          </w:p>
        </w:tc>
        <w:tc>
          <w:tcPr>
            <w:tcW w:type="dxa" w:w="2551"/>
          </w:tcPr>
          <w:p>
            <w:r>
              <w:rPr>
                <w:sz w:val="19"/>
              </w:rPr>
              <w:t>0 wrong merges</w:t>
            </w:r>
          </w:p>
        </w:tc>
      </w:tr>
      <w:tr>
        <w:tc>
          <w:tcPr>
            <w:tcW w:type="dxa" w:w="4535"/>
          </w:tcPr>
          <w:p>
            <w:r>
              <w:rPr>
                <w:sz w:val="19"/>
              </w:rPr>
              <w:t>Field accuracy</w:t>
            </w:r>
          </w:p>
        </w:tc>
        <w:tc>
          <w:tcPr>
            <w:tcW w:type="dxa" w:w="2551"/>
          </w:tcPr>
          <w:p>
            <w:r>
              <w:rPr>
                <w:sz w:val="19"/>
              </w:rPr>
              <w:t>82.8%</w:t>
            </w:r>
          </w:p>
        </w:tc>
        <w:tc>
          <w:tcPr>
            <w:tcW w:type="dxa" w:w="2551"/>
          </w:tcPr>
          <w:p>
            <w:r>
              <w:rPr>
                <w:sz w:val="19"/>
              </w:rPr>
              <w:t>90%</w:t>
            </w:r>
          </w:p>
        </w:tc>
      </w:tr>
      <w:tr>
        <w:tc>
          <w:tcPr>
            <w:tcW w:type="dxa" w:w="4535"/>
          </w:tcPr>
          <w:p>
            <w:r>
              <w:rPr>
                <w:sz w:val="19"/>
              </w:rPr>
              <w:t>Follow-up date accuracy</w:t>
            </w:r>
          </w:p>
        </w:tc>
        <w:tc>
          <w:tcPr>
            <w:tcW w:type="dxa" w:w="2551"/>
          </w:tcPr>
          <w:p>
            <w:r>
              <w:rPr>
                <w:sz w:val="19"/>
              </w:rPr>
              <w:t>90.3%</w:t>
            </w:r>
          </w:p>
        </w:tc>
        <w:tc>
          <w:tcPr>
            <w:tcW w:type="dxa" w:w="2551"/>
          </w:tcPr>
          <w:p>
            <w:r>
              <w:rPr>
                <w:sz w:val="19"/>
              </w:rPr>
              <w:t>90%</w:t>
            </w:r>
          </w:p>
        </w:tc>
      </w:tr>
      <w:tr>
        <w:tc>
          <w:tcPr>
            <w:tcW w:type="dxa" w:w="4535"/>
          </w:tcPr>
          <w:p>
            <w:r>
              <w:rPr>
                <w:sz w:val="19"/>
              </w:rPr>
              <w:t>Private data leaks</w:t>
            </w:r>
          </w:p>
        </w:tc>
        <w:tc>
          <w:tcPr>
            <w:tcW w:type="dxa" w:w="2551"/>
          </w:tcPr>
          <w:p>
            <w:r>
              <w:rPr>
                <w:sz w:val="19"/>
              </w:rPr>
              <w:t>0</w:t>
            </w:r>
          </w:p>
        </w:tc>
        <w:tc>
          <w:tcPr>
            <w:tcW w:type="dxa" w:w="2551"/>
          </w:tcPr>
          <w:p>
            <w:r>
              <w:rPr>
                <w:sz w:val="19"/>
              </w:rPr>
              <w:t>0</w:t>
            </w:r>
          </w:p>
        </w:tc>
      </w:tr>
    </w:tbl>
    <w:p/>
    <w:p>
      <w:r>
        <w:t>Known gap: threads longer than 6,000 characters are cut, so late facts in long threads can be missed.</w:t>
      </w:r>
    </w:p>
    <w:p>
      <w:pPr>
        <w:pStyle w:val="Heading1"/>
      </w:pPr>
      <w:r>
        <w:t>11. Scaling and next steps</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2E75B6"/>
          </w:tcPr>
          <w:p>
            <w:r/>
            <w:r>
              <w:rPr>
                <w:b/>
                <w:color w:val="FFFFFF"/>
              </w:rPr>
              <w:t>Area</w:t>
            </w:r>
          </w:p>
        </w:tc>
        <w:tc>
          <w:tcPr>
            <w:tcW w:type="dxa" w:w="3118"/>
            <w:shd w:val="clear" w:color="auto" w:fill="2E75B6"/>
          </w:tcPr>
          <w:p>
            <w:r/>
            <w:r>
              <w:rPr>
                <w:b/>
                <w:color w:val="FFFFFF"/>
              </w:rPr>
              <w:t>Today</w:t>
            </w:r>
          </w:p>
        </w:tc>
        <w:tc>
          <w:tcPr>
            <w:tcW w:type="dxa" w:w="4819"/>
            <w:shd w:val="clear" w:color="auto" w:fill="2E75B6"/>
          </w:tcPr>
          <w:p>
            <w:r/>
            <w:r>
              <w:rPr>
                <w:b/>
                <w:color w:val="FFFFFF"/>
              </w:rPr>
              <w:t>When it is needed</w:t>
            </w:r>
          </w:p>
        </w:tc>
      </w:tr>
      <w:tr>
        <w:tc>
          <w:tcPr>
            <w:tcW w:type="dxa" w:w="1701"/>
          </w:tcPr>
          <w:p>
            <w:r>
              <w:rPr>
                <w:sz w:val="19"/>
              </w:rPr>
              <w:t>Worker</w:t>
            </w:r>
          </w:p>
        </w:tc>
        <w:tc>
          <w:tcPr>
            <w:tcW w:type="dxa" w:w="3118"/>
          </w:tcPr>
          <w:p>
            <w:r>
              <w:rPr>
                <w:sz w:val="19"/>
              </w:rPr>
              <w:t>In-process asyncio task, 5 items per cycle</w:t>
            </w:r>
          </w:p>
        </w:tc>
        <w:tc>
          <w:tcPr>
            <w:tcW w:type="dxa" w:w="4819"/>
          </w:tcPr>
          <w:p>
            <w:r>
              <w:rPr>
                <w:sz w:val="19"/>
              </w:rPr>
              <w:t>Move to a separate Railway worker service when volume passes a few thousand items a day.</w:t>
            </w:r>
          </w:p>
        </w:tc>
      </w:tr>
      <w:tr>
        <w:tc>
          <w:tcPr>
            <w:tcW w:type="dxa" w:w="1701"/>
          </w:tcPr>
          <w:p>
            <w:r>
              <w:rPr>
                <w:sz w:val="19"/>
              </w:rPr>
              <w:t>Queue</w:t>
            </w:r>
          </w:p>
        </w:tc>
        <w:tc>
          <w:tcPr>
            <w:tcW w:type="dxa" w:w="3118"/>
          </w:tcPr>
          <w:p>
            <w:r>
              <w:rPr>
                <w:sz w:val="19"/>
              </w:rPr>
              <w:t>source_items table polled by status</w:t>
            </w:r>
          </w:p>
        </w:tc>
        <w:tc>
          <w:tcPr>
            <w:tcW w:type="dxa" w:w="4819"/>
          </w:tcPr>
          <w:p>
            <w:r>
              <w:rPr>
                <w:sz w:val="19"/>
              </w:rPr>
              <w:t>Use SKIP LOCKED or a message queue once there is more than one worker.</w:t>
            </w:r>
          </w:p>
        </w:tc>
      </w:tr>
      <w:tr>
        <w:tc>
          <w:tcPr>
            <w:tcW w:type="dxa" w:w="1701"/>
          </w:tcPr>
          <w:p>
            <w:r>
              <w:rPr>
                <w:sz w:val="19"/>
              </w:rPr>
              <w:t>Mailbox</w:t>
            </w:r>
          </w:p>
        </w:tc>
        <w:tc>
          <w:tcPr>
            <w:tcW w:type="dxa" w:w="3118"/>
          </w:tcPr>
          <w:p>
            <w:r>
              <w:rPr>
                <w:sz w:val="19"/>
              </w:rPr>
              <w:t>Sample mailbox sync and upload</w:t>
            </w:r>
          </w:p>
        </w:tc>
        <w:tc>
          <w:tcPr>
            <w:tcW w:type="dxa" w:w="4819"/>
          </w:tcPr>
          <w:p>
            <w:r>
              <w:rPr>
                <w:sz w:val="19"/>
              </w:rPr>
              <w:t>Gmail / Outlook connector with per-user OAuth.</w:t>
            </w:r>
          </w:p>
        </w:tc>
      </w:tr>
      <w:tr>
        <w:tc>
          <w:tcPr>
            <w:tcW w:type="dxa" w:w="1701"/>
          </w:tcPr>
          <w:p>
            <w:r>
              <w:rPr>
                <w:sz w:val="19"/>
              </w:rPr>
              <w:t>Long threads</w:t>
            </w:r>
          </w:p>
        </w:tc>
        <w:tc>
          <w:tcPr>
            <w:tcW w:type="dxa" w:w="3118"/>
          </w:tcPr>
          <w:p>
            <w:r>
              <w:rPr>
                <w:sz w:val="19"/>
              </w:rPr>
              <w:t>6,000-character cap</w:t>
            </w:r>
          </w:p>
        </w:tc>
        <w:tc>
          <w:tcPr>
            <w:tcW w:type="dxa" w:w="4819"/>
          </w:tcPr>
          <w:p>
            <w:r>
              <w:rPr>
                <w:sz w:val="19"/>
              </w:rPr>
              <w:t>Chunk and summarise threads before extraction.</w:t>
            </w:r>
          </w:p>
        </w:tc>
      </w:tr>
      <w:tr>
        <w:tc>
          <w:tcPr>
            <w:tcW w:type="dxa" w:w="1701"/>
          </w:tcPr>
          <w:p>
            <w:r>
              <w:rPr>
                <w:sz w:val="19"/>
              </w:rPr>
              <w:t>Authentication</w:t>
            </w:r>
          </w:p>
        </w:tc>
        <w:tc>
          <w:tcPr>
            <w:tcW w:type="dxa" w:w="3118"/>
          </w:tcPr>
          <w:p>
            <w:r>
              <w:rPr>
                <w:sz w:val="19"/>
              </w:rPr>
              <w:t>Shared access code</w:t>
            </w:r>
          </w:p>
        </w:tc>
        <w:tc>
          <w:tcPr>
            <w:tcW w:type="dxa" w:w="4819"/>
          </w:tcPr>
          <w:p>
            <w:r>
              <w:rPr>
                <w:sz w:val="19"/>
              </w:rPr>
              <w:t>SSO with per-user roles before real client data.</w:t>
            </w:r>
          </w:p>
        </w:tc>
      </w:tr>
      <w:tr>
        <w:tc>
          <w:tcPr>
            <w:tcW w:type="dxa" w:w="1701"/>
          </w:tcPr>
          <w:p>
            <w:r>
              <w:rPr>
                <w:sz w:val="19"/>
              </w:rPr>
              <w:t>Cost control</w:t>
            </w:r>
          </w:p>
        </w:tc>
        <w:tc>
          <w:tcPr>
            <w:tcW w:type="dxa" w:w="3118"/>
          </w:tcPr>
          <w:p>
            <w:r>
              <w:rPr>
                <w:sz w:val="19"/>
              </w:rPr>
              <w:t>Low effort, capped input</w:t>
            </w:r>
          </w:p>
        </w:tc>
        <w:tc>
          <w:tcPr>
            <w:tcW w:type="dxa" w:w="4819"/>
          </w:tcPr>
          <w:p>
            <w:r>
              <w:rPr>
                <w:sz w:val="19"/>
              </w:rPr>
              <w:t>Prompt caching for the fixed system prompts; batch API for back-fills.</w:t>
            </w:r>
          </w:p>
        </w:tc>
      </w:tr>
    </w:tbl>
    <w:p/>
    <w:p>
      <w:pPr>
        <w:pStyle w:val="Heading1"/>
      </w:pPr>
      <w:r>
        <w:t>12. About the diagrams</w:t>
      </w:r>
    </w:p>
    <w:p>
      <w:r>
        <w:t>The three diagrams were authored in the Archify format: each is a typed JSON file (architecture, workflow and lifecycle schemas) that Archify validates, renders to a standalone HTML page with inline SVG, and checks in a real browser. All three passed the validate, deliver, check and browser-check gates. The HTML versions support light and dark themes, path tracing and export to PNG or SVG; the JSON sources are kept in the diagrams folder so they can be edited and re-rendered.</w:t>
      </w:r>
    </w:p>
    <w:p>
      <w:r>
        <w:rPr>
          <w:b/>
        </w:rPr>
        <w:t xml:space="preserve">Archify: </w:t>
      </w:r>
      <w:hyperlink r:id="rId13">
        <w:r>
          <w:rPr>
            <w:color w:val="0563C1"/>
            <w:u w:val="single"/>
          </w:rPr>
          <w:t>https://github.com/tt-a1i/archify</w:t>
        </w:r>
      </w:hyperlink>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atliq-lead-capture-production.up.railway.app" TargetMode="External"/><Relationship Id="rId13" Type="http://schemas.openxmlformats.org/officeDocument/2006/relationships/hyperlink" Target="https://github.com/tt-a1i/archi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