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Multi-Region Resiliency Approach for AWS Glue</w:t>
      </w:r>
    </w:p>
    <w:p>
      <w:r>
        <w:br/>
        <w:t>This document outlines the multi-region resiliency approach for AWS Glue to ensure high availability and disaster recovery of ETL workflows and data preparation tasks.</w:t>
        <w:br/>
      </w:r>
    </w:p>
    <w:p>
      <w:pPr>
        <w:pStyle w:val="Heading2"/>
      </w:pPr>
      <w:r>
        <w:t>Architecture</w:t>
      </w:r>
    </w:p>
    <w:p>
      <w:r>
        <w:br/>
        <w:t xml:space="preserve">AWS Glue will operate in two AWS regions: **us-east-1** (primary) and **us-east-2** (secondary). </w:t>
        <w:br/>
        <w:t>Key components like Glue Data Catalog, ETL jobs, and S3 buckets will be replicated across regions.</w:t>
        <w:br/>
      </w:r>
    </w:p>
    <w:p>
      <w:pPr>
        <w:pStyle w:val="Heading2"/>
      </w:pPr>
      <w:r>
        <w:t>Key Components</w:t>
      </w:r>
    </w:p>
    <w:p>
      <w:r>
        <w:br/>
        <w:t>1. **Glue Data Catalog**:</w:t>
        <w:br/>
        <w:t xml:space="preserve">   - Replicated across regions for metadata consistency.</w:t>
        <w:br/>
        <w:br/>
        <w:t>2. **ETL Jobs**:</w:t>
        <w:br/>
        <w:t xml:space="preserve">   - Configured to process data from cross-region S3 buckets and databases.</w:t>
        <w:br/>
        <w:br/>
        <w:t>3. **S3 Buckets**:</w:t>
        <w:br/>
        <w:t xml:space="preserve">   - Enabled for cross-region replication to synchronize scripts and metadata.</w:t>
        <w:br/>
        <w:br/>
        <w:t>4. **VPC Peering and Transit Gateway**:</w:t>
        <w:br/>
        <w:t xml:space="preserve">   - Facilitates secure cross-region data access.</w:t>
        <w:br/>
        <w:br/>
        <w:t>5. **DataBrew Workflows**:</w:t>
        <w:br/>
        <w:t xml:space="preserve">   - Operates on replicated datasets stored in cross-region S3 buckets.</w:t>
        <w:br/>
      </w:r>
    </w:p>
    <w:p>
      <w:pPr>
        <w:pStyle w:val="Heading2"/>
      </w:pPr>
      <w:r>
        <w:t>Operational Strategies</w:t>
      </w:r>
    </w:p>
    <w:p>
      <w:r>
        <w:br/>
        <w:t>1. **Cross-Region Replication**:</w:t>
        <w:br/>
        <w:t xml:space="preserve">   - Metadata and scripts are stored in S3 buckets with cross-region replication enabled.</w:t>
        <w:br/>
        <w:br/>
        <w:t>2. **Secure Cross-Region Access**:</w:t>
        <w:br/>
        <w:t xml:space="preserve">   - Use Transit Gateway for scalable and secure VPC peering between regions.</w:t>
        <w:br/>
        <w:br/>
        <w:t>3. **ETL Job Validation**:</w:t>
        <w:br/>
        <w:t xml:space="preserve">   - Periodically run Glue jobs in the secondary region to validate data and workflow consistency.</w:t>
        <w:br/>
        <w:br/>
        <w:t>4. **Disaster Recovery**:</w:t>
        <w:br/>
        <w:t xml:space="preserve">   - Automate failover processes using Lambda functions and health checks.</w:t>
        <w:br/>
        <w:br/>
        <w:t>5. **Monitoring and Alerting**:</w:t>
        <w:br/>
        <w:t xml:space="preserve">   - Use CloudWatch for monitoring ETL jobs and replication processes.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