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Multi-Region Resiliency Approach for Glue</w:t>
      </w:r>
    </w:p>
    <w:p>
      <w:r>
        <w:br/>
        <w:t>To enhance the clarity and completeness of the Glue multi-region architecture diagram, consider the following updates:</w:t>
        <w:br/>
      </w:r>
    </w:p>
    <w:p>
      <w:pPr>
        <w:pStyle w:val="Heading1"/>
      </w:pPr>
      <w:r>
        <w:t>Suggestions for Diagram Updates</w:t>
      </w:r>
    </w:p>
    <w:p>
      <w:r>
        <w:br/>
        <w:t>1. **Add Service Labels:**</w:t>
        <w:br/>
        <w:t xml:space="preserve">   - Clearly mark Glue jobs, Data Catalogs, and the regions they operate in.</w:t>
        <w:br/>
        <w:t xml:space="preserve">   - Indicate cross-region Glue Data Catalog replication paths.</w:t>
        <w:br/>
        <w:br/>
        <w:t>2. **Highlight Cross-Region Connections:**</w:t>
        <w:br/>
        <w:t xml:space="preserve">   - Use directional arrows to show how Glue jobs access data in S3 buckets across regions.</w:t>
        <w:br/>
        <w:t xml:space="preserve">   - Highlight the connection between Glue jobs and databases like RDS read replicas.</w:t>
        <w:br/>
        <w:br/>
        <w:t>3. **Annotation for Data Preparation:**</w:t>
        <w:br/>
        <w:t xml:space="preserve">   - Indicate Glue DataBrew workflows and their access to replicated S3 buckets.</w:t>
        <w:br/>
        <w:t xml:space="preserve">   - Show data flow from S3 to Glue jobs for cross-region data preparation.</w:t>
        <w:br/>
        <w:br/>
        <w:t>4. **Include a Legend:**</w:t>
        <w:br/>
        <w:t xml:space="preserve">   - Provide a legend for icons and line styles, such as those representing data replication and ETL workflows.</w:t>
        <w:br/>
        <w:br/>
        <w:t>5. **Resiliency Highlights:**</w:t>
        <w:br/>
        <w:t xml:space="preserve">   - Highlight multi-region data preparation and cross-region job validation processes.</w:t>
        <w:br/>
        <w:t xml:space="preserve">   - Show how the Transit Gateway facilitates cross-region data access for Glue jobs.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