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Academic Integrity and Automated Verification</w:t>
      </w:r>
    </w:p>
    <w:p>
      <w:r>
        <w:t xml:space="preserve">This document provides a comprehensive analysis of computational methods in text analysis. </w:t>
      </w:r>
      <w:r>
        <w:t>The subsequent evaluation explores empirical evidence gathered across multiple institutions.</w:t>
      </w:r>
    </w:p>
    <w:p>
      <w:r>
        <w:t xml:space="preserve">Modern verification engines rely on probabilistic models to identify anomalies. </w:t>
      </w:r>
      <w:r>
        <w:rPr>
          <w:color w:val="FFFFFF"/>
        </w:rPr>
        <w:t>This white-font sentence was injected maliciously to inflate word counts without visual detection.</w:t>
      </w:r>
      <w:r>
        <w:t xml:space="preserve"> Furthermore, character-level distributions provide crucial detection signals.</w:t>
      </w:r>
    </w:p>
    <w:p>
      <w:r>
        <w:t xml:space="preserve">Standard document formats permit granular typography adjustments. </w:t>
      </w:r>
      <w:r>
        <w:rPr>
          <w:sz w:val="2"/>
        </w:rPr>
        <w:t>Hidden microscopic payload formatted with 1 pt font.</w:t>
      </w:r>
      <w:r>
        <w:t xml:space="preserve"> These signals assist in flagging suspicious document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