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Card Customer Spending &amp; Repayment Analytics</w:t>
      </w:r>
    </w:p>
    <w:p>
      <w:r>
        <w:t>Project Report | AICTE | IBM SkillsBuild Data Analytics with AI Internship</w:t>
      </w:r>
    </w:p>
    <w:p>
      <w:pPr>
        <w:pStyle w:val="Heading1"/>
      </w:pPr>
      <w:r>
        <w:t>1. Project Overview</w:t>
      </w:r>
    </w:p>
    <w:p>
      <w:r>
        <w:t>This project applies data cleaning, exploratory data analysis, aggregation and visualization to credit-card customer spending and repayment data. The goal is to move from raw transaction records to measurable business information and decision-support indicators.</w:t>
      </w:r>
    </w:p>
    <w:p>
      <w:pPr>
        <w:pStyle w:val="Heading1"/>
      </w:pPr>
      <w:r>
        <w:t>2. Problem Statement</w:t>
      </w:r>
    </w:p>
    <w:p>
      <w:r>
        <w:t>Financial institutions can use customer spending and repayment patterns to understand portfolio behavior, compare customer segments, monitor repayment coverage and identify customers with positive aggregate outstanding balances.</w:t>
      </w:r>
    </w:p>
    <w:p>
      <w:pPr>
        <w:pStyle w:val="Heading1"/>
      </w:pPr>
      <w:r>
        <w:t>3. Dataset</w:t>
      </w:r>
    </w:p>
    <w:p>
      <w:r>
        <w:t>The analysis contains 100 customer records, 1,500 spending transactions and 1,523 repayment transactions. Customer data includes age, city, card product, credit limit, company and segment. Transaction data contains customer, date, transaction type and amount.</w:t>
      </w:r>
    </w:p>
    <w:p>
      <w:pPr>
        <w:pStyle w:val="Heading1"/>
      </w:pPr>
      <w:r>
        <w:t>4. Data Preparation</w:t>
      </w:r>
    </w:p>
    <w:p>
      <w:pPr>
        <w:pStyle w:val="ListBullet"/>
      </w:pPr>
      <w:r>
        <w:t>Standardized column names and corrected inconsistent source field names such as the customer identifier.</w:t>
      </w:r>
    </w:p>
    <w:p>
      <w:pPr>
        <w:pStyle w:val="ListBullet"/>
      </w:pPr>
      <w:r>
        <w:t>Converted transaction amounts to numeric values and transaction dates to datetime.</w:t>
      </w:r>
    </w:p>
    <w:p>
      <w:pPr>
        <w:pStyle w:val="ListBullet"/>
      </w:pPr>
      <w:r>
        <w:t>Validated age values using the 18–90 range; invalid values were replaced with the mean of valid ages.</w:t>
      </w:r>
    </w:p>
    <w:p>
      <w:pPr>
        <w:pStyle w:val="ListBullet"/>
      </w:pPr>
      <w:r>
        <w:t>Removed an unused repayment-data column.</w:t>
      </w:r>
    </w:p>
    <w:p>
      <w:pPr>
        <w:pStyle w:val="ListBullet"/>
      </w:pPr>
      <w:r>
        <w:t>Aggregated spending and repayment by customer and calculated outstanding balance and repayment coverage.</w:t>
      </w:r>
    </w:p>
    <w:p>
      <w:pPr>
        <w:pStyle w:val="Heading1"/>
      </w:pPr>
      <w:r>
        <w:t>5. Key Performance Indicators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Customers analyzed</w:t>
            </w:r>
          </w:p>
        </w:tc>
        <w:tc>
          <w:tcPr>
            <w:tcW w:type="dxa" w:w="4320"/>
          </w:tcPr>
          <w:p>
            <w:r>
              <w:t>100</w:t>
            </w:r>
          </w:p>
        </w:tc>
      </w:tr>
      <w:tr>
        <w:tc>
          <w:tcPr>
            <w:tcW w:type="dxa" w:w="4320"/>
          </w:tcPr>
          <w:p>
            <w:r>
              <w:t>Spending transactions</w:t>
            </w:r>
          </w:p>
        </w:tc>
        <w:tc>
          <w:tcPr>
            <w:tcW w:type="dxa" w:w="4320"/>
          </w:tcPr>
          <w:p>
            <w:r>
              <w:t>1,500</w:t>
            </w:r>
          </w:p>
        </w:tc>
      </w:tr>
      <w:tr>
        <w:tc>
          <w:tcPr>
            <w:tcW w:type="dxa" w:w="4320"/>
          </w:tcPr>
          <w:p>
            <w:r>
              <w:t>Repayment transactions</w:t>
            </w:r>
          </w:p>
        </w:tc>
        <w:tc>
          <w:tcPr>
            <w:tcW w:type="dxa" w:w="4320"/>
          </w:tcPr>
          <w:p>
            <w:r>
              <w:t>1,523</w:t>
            </w:r>
          </w:p>
        </w:tc>
      </w:tr>
      <w:tr>
        <w:tc>
          <w:tcPr>
            <w:tcW w:type="dxa" w:w="4320"/>
          </w:tcPr>
          <w:p>
            <w:r>
              <w:t>Total spending</w:t>
            </w:r>
          </w:p>
        </w:tc>
        <w:tc>
          <w:tcPr>
            <w:tcW w:type="dxa" w:w="4320"/>
          </w:tcPr>
          <w:p>
            <w:r>
              <w:t>381,352,045.00</w:t>
            </w:r>
          </w:p>
        </w:tc>
      </w:tr>
      <w:tr>
        <w:tc>
          <w:tcPr>
            <w:tcW w:type="dxa" w:w="4320"/>
          </w:tcPr>
          <w:p>
            <w:r>
              <w:t>Total repayment</w:t>
            </w:r>
          </w:p>
        </w:tc>
        <w:tc>
          <w:tcPr>
            <w:tcW w:type="dxa" w:w="4320"/>
          </w:tcPr>
          <w:p>
            <w:r>
              <w:t>371,208,444.12</w:t>
            </w:r>
          </w:p>
        </w:tc>
      </w:tr>
      <w:tr>
        <w:tc>
          <w:tcPr>
            <w:tcW w:type="dxa" w:w="4320"/>
          </w:tcPr>
          <w:p>
            <w:r>
              <w:t>Net outstanding balance</w:t>
            </w:r>
          </w:p>
        </w:tc>
        <w:tc>
          <w:tcPr>
            <w:tcW w:type="dxa" w:w="4320"/>
          </w:tcPr>
          <w:p>
            <w:r>
              <w:t>10,143,600.88</w:t>
            </w:r>
          </w:p>
        </w:tc>
      </w:tr>
      <w:tr>
        <w:tc>
          <w:tcPr>
            <w:tcW w:type="dxa" w:w="4320"/>
          </w:tcPr>
          <w:p>
            <w:r>
              <w:t>Repayment coverage</w:t>
            </w:r>
          </w:p>
        </w:tc>
        <w:tc>
          <w:tcPr>
            <w:tcW w:type="dxa" w:w="4320"/>
          </w:tcPr>
          <w:p>
            <w:r>
              <w:t>97.34%</w:t>
            </w:r>
          </w:p>
        </w:tc>
      </w:tr>
      <w:tr>
        <w:tc>
          <w:tcPr>
            <w:tcW w:type="dxa" w:w="4320"/>
          </w:tcPr>
          <w:p>
            <w:r>
              <w:t>Customers with positive outstanding balance</w:t>
            </w:r>
          </w:p>
        </w:tc>
        <w:tc>
          <w:tcPr>
            <w:tcW w:type="dxa" w:w="4320"/>
          </w:tcPr>
          <w:p>
            <w:r>
              <w:t>55</w:t>
            </w:r>
          </w:p>
        </w:tc>
      </w:tr>
    </w:tbl>
    <w:p>
      <w:pPr>
        <w:pStyle w:val="Heading1"/>
      </w:pPr>
      <w:r>
        <w:t>6. Analysis &amp; Observations</w:t>
      </w:r>
    </w:p>
    <w:p>
      <w:r>
        <w:t>The highest-spending customer segment in aggregate is Normal Salary. The highest-spending age group is 36-53. The largest mapped transaction category is Travel.</w:t>
      </w:r>
    </w:p>
    <w:p>
      <w:r>
        <w:t>The project compares total spending with total repayment at customer and monthly levels. A positive spending-minus-repayment value is treated as an analytical outstanding-balance indicator. Because the source does not provide complete billing-cycle or statement information, this should not be treated as a formal accounting balance.</w:t>
      </w:r>
    </w:p>
    <w:p>
      <w:pPr>
        <w:pStyle w:val="Heading1"/>
      </w:pPr>
      <w:r>
        <w:t>7. Business Insights and Actions</w:t>
      </w:r>
    </w:p>
    <w:p>
      <w:pPr>
        <w:pStyle w:val="ListBullet"/>
      </w:pPr>
      <w:r>
        <w:t>Monitor customer groups with persistently positive aggregate spending-minus-repayment values.</w:t>
      </w:r>
    </w:p>
    <w:p>
      <w:pPr>
        <w:pStyle w:val="ListBullet"/>
      </w:pPr>
      <w:r>
        <w:t>Use segment and age-group summaries to understand where portfolio spending is concentrated.</w:t>
      </w:r>
    </w:p>
    <w:p>
      <w:pPr>
        <w:pStyle w:val="ListBullet"/>
      </w:pPr>
      <w:r>
        <w:t>Track monthly spending and repayment together rather than relying on spending alone.</w:t>
      </w:r>
    </w:p>
    <w:p>
      <w:pPr>
        <w:pStyle w:val="ListBullet"/>
      </w:pPr>
      <w:r>
        <w:t>Review high-spend transaction categories when designing customer communication or repayment-support initiatives.</w:t>
      </w:r>
    </w:p>
    <w:p>
      <w:pPr>
        <w:pStyle w:val="ListBullet"/>
      </w:pPr>
      <w:r>
        <w:t>Use the analysis as a monitoring layer; additional billing-cycle, payment-due and delinquency fields would be required for formal credit-risk decisions.</w:t>
      </w:r>
    </w:p>
    <w:p>
      <w:pPr>
        <w:pStyle w:val="Heading1"/>
      </w:pPr>
      <w:r>
        <w:t>8. Limitations</w:t>
      </w:r>
    </w:p>
    <w:p>
      <w:pPr>
        <w:pStyle w:val="ListBullet"/>
      </w:pPr>
      <w:r>
        <w:t>The dataset does not contain complete statement-level billing and due-date information.</w:t>
      </w:r>
    </w:p>
    <w:p>
      <w:pPr>
        <w:pStyle w:val="ListBullet"/>
      </w:pPr>
      <w:r>
        <w:t>Aggregate repayment may not correspond to the same billing cycle as aggregate spending.</w:t>
      </w:r>
    </w:p>
    <w:p>
      <w:pPr>
        <w:pStyle w:val="ListBullet"/>
      </w:pPr>
      <w:r>
        <w:t>Group-level differences are descriptive and do not establish causation.</w:t>
      </w:r>
    </w:p>
    <w:p>
      <w:pPr>
        <w:pStyle w:val="ListBullet"/>
      </w:pPr>
      <w:r>
        <w:t>The project does not build a machine-learning prediction model because the available data and internship requirement do not require one.</w:t>
      </w:r>
    </w:p>
    <w:p>
      <w:pPr>
        <w:pStyle w:val="Heading1"/>
      </w:pPr>
      <w:r>
        <w:t>9. Conclusion</w:t>
      </w:r>
    </w:p>
    <w:p>
      <w:r>
        <w:t>The project demonstrates an end-to-end data-analytics workflow: data preparation, aggregation, KPI creation, segmentation, trend analysis, visualization and business-oriented interpretation. The resulting outputs provide a compact view of customer spending and repayment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