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28f35a976efd4a5f" /><Relationship Type="http://schemas.openxmlformats.org/package/2006/relationships/metadata/core-properties" Target="/docProps/core.xml" Id="Rb5e991f0f13e42c0" /><Relationship Type="http://schemas.openxmlformats.org/officeDocument/2006/relationships/extended-properties" Target="/docProps/app.xml" Id="R2dab6d985f984825" /><Relationship Type="http://schemas.openxmlformats.org/officeDocument/2006/relationships/custom-properties" Target="/docProps/custom.xml" Id="R233ca86d733841cb"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Normal"/>
        <w:spacing w:after="0"/>
      </w:pPr>
      <w:r>
        <w:rPr/>
        <w:t xml:space="preserve"/>
      </w:r>
    </w:p>
    <w:p w14:paraId="00100002" w14:textId="00100003">
      <w:pPr>
        <w:pStyle w:val="Normal"/>
        <w:spacing w:after="120"/>
        <w:jc w:val="center"/>
      </w:pPr>
      <w:r>
        <w:rPr>
          <w:b w:val="false"/>
          <w:color w:val="4472C4"/>
          <w:sz w:val="24"/>
        </w:rPr>
        <w:t xml:space="preserve">AICTE | IBM SkillsBuild Data Analytics with AI Internship 2026</w:t>
      </w:r>
    </w:p>
    <w:p w14:paraId="00100004" w14:textId="00100005">
      <w:pPr>
        <w:pStyle w:val="Normal"/>
        <w:spacing w:after="480"/>
        <w:jc w:val="center"/>
      </w:pPr>
      <w:r>
        <w:rPr>
          <w:color w:val="4472C4"/>
          <w:sz w:val="24"/>
        </w:rPr>
        <w:t xml:space="preserve">BharatCares</w:t>
      </w:r>
    </w:p>
    <w:p w14:paraId="00100006" w14:textId="00100007">
      <w:pPr>
        <w:pStyle w:val="Heading1"/>
        <w:spacing w:after="240"/>
        <w:jc w:val="center"/>
      </w:pPr>
      <w:r>
        <w:rPr>
          <w:b/>
          <w:color w:val="1A3A5C"/>
          <w:sz w:val="48"/>
        </w:rPr>
        <w:t xml:space="preserve">Credit Card Customer Spending and Repayment Analysis</w:t>
      </w:r>
    </w:p>
    <w:p w14:paraId="00100008" w14:textId="00100009">
      <w:pPr>
        <w:pStyle w:val="Normal"/>
        <w:spacing w:after="160"/>
        <w:jc w:val="center"/>
      </w:pPr>
      <w:r>
        <w:rPr>
          <w:b/>
          <w:color w:val="2563A8"/>
          <w:sz w:val="32"/>
        </w:rPr>
        <w:t xml:space="preserve">Project Report</w:t>
      </w:r>
    </w:p>
    <w:p w14:paraId="0010000A" w14:textId="0010000B">
      <w:pPr>
        <w:pStyle w:val="Normal"/>
        <w:spacing w:after="640"/>
        <w:jc w:val="center"/>
      </w:pPr>
      <w:r>
        <w:rPr>
          <w:color w:val="555555"/>
          <w:sz w:val="22"/>
        </w:rPr>
        <w:t xml:space="preserve">Submitted in partial fulfilment of the AICTE | IBM SkillsBuild Internship Programme</w:t>
      </w:r>
    </w:p>
    <w:p w14:paraId="0010000C" w14:textId="0010000D">
      <w:pPr>
        <w:pStyle w:val="Normal"/>
        <w:spacing w:after="120"/>
        <w:jc w:val="center"/>
      </w:pPr>
      <w:r>
        <w:rPr>
          <w:sz w:val="22"/>
        </w:rPr>
        <w:t xml:space="preserve">Dataset Period: January 2004 – December 2006</w:t>
      </w:r>
    </w:p>
    <w:p w14:paraId="0010000E" w14:textId="0010000F">
      <w:pPr>
        <w:pStyle w:val="Normal"/>
        <w:spacing w:after="120"/>
        <w:jc w:val="center"/>
      </w:pPr>
      <w:r>
        <w:rPr>
          <w:sz w:val="22"/>
        </w:rPr>
        <w:t xml:space="preserve">Tools Used: Python | Pandas | Matplotlib | Streamlit | HTML Dashboard</w:t>
      </w:r>
    </w:p>
    <w:p w14:paraId="00100010" w14:textId="00100011">
      <w:pPr>
        <w:pStyle w:val="Normal"/>
        <w:spacing w:after="800"/>
        <w:jc w:val="center"/>
      </w:pPr>
      <w:r>
        <w:rPr>
          <w:sz w:val="22"/>
        </w:rPr>
        <w:t xml:space="preserve">Datasets: Credit Banking_Project1.csv | spend.csv | repayment.csv</w:t>
      </w:r>
    </w:p>
    <w:p w14:paraId="00100012" w14:textId="00100013">
      <w:pPr>
        <w:pStyle w:val="Heading1"/>
        <w:spacing w:after="200"/>
      </w:pPr>
      <w:r>
        <w:rPr>
          <w:b/>
          <w:color w:val="1A3A5C"/>
          <w:sz w:val="32"/>
        </w:rPr>
        <w:t xml:space="preserve">Table of Contents</w:t>
      </w:r>
    </w:p>
    <w:p w14:paraId="00100014" w14:textId="00100015">
      <w:pPr>
        <w:pStyle w:val="Normal"/>
        <w:spacing w:after="80"/>
      </w:pPr>
      <w:r>
        <w:rPr>
          <w:sz w:val="22"/>
        </w:rPr>
        <w:t xml:space="preserve">1. Project Overview</w:t>
      </w:r>
    </w:p>
    <w:p w14:paraId="00100016" w14:textId="00100017">
      <w:pPr>
        <w:pStyle w:val="Normal"/>
        <w:spacing w:after="80"/>
      </w:pPr>
      <w:r>
        <w:rPr>
          <w:sz w:val="22"/>
        </w:rPr>
        <w:t xml:space="preserve">2. Problem Statement</w:t>
      </w:r>
    </w:p>
    <w:p w14:paraId="00100018" w14:textId="00100019">
      <w:pPr>
        <w:pStyle w:val="Normal"/>
        <w:spacing w:after="80"/>
      </w:pPr>
      <w:r>
        <w:rPr>
          <w:sz w:val="22"/>
        </w:rPr>
        <w:t xml:space="preserve">3. Objectives</w:t>
      </w:r>
    </w:p>
    <w:p w14:paraId="0010001A" w14:textId="0010001B">
      <w:pPr>
        <w:pStyle w:val="Normal"/>
        <w:spacing w:after="80"/>
      </w:pPr>
      <w:r>
        <w:rPr>
          <w:sz w:val="22"/>
        </w:rPr>
        <w:t xml:space="preserve">4. Dataset Description</w:t>
      </w:r>
    </w:p>
    <w:p w14:paraId="0010001C" w14:textId="0010001D">
      <w:pPr>
        <w:pStyle w:val="Normal"/>
        <w:spacing w:after="80"/>
      </w:pPr>
      <w:r>
        <w:rPr>
          <w:sz w:val="22"/>
        </w:rPr>
        <w:t xml:space="preserve">5. How the Project Works</w:t>
      </w:r>
    </w:p>
    <w:p w14:paraId="0010001E" w14:textId="0010001F">
      <w:pPr>
        <w:pStyle w:val="Normal"/>
        <w:spacing w:after="80"/>
      </w:pPr>
      <w:r>
        <w:rPr>
          <w:sz w:val="22"/>
        </w:rPr>
        <w:t xml:space="preserve">6. Data Cleaning and Preparation</w:t>
      </w:r>
    </w:p>
    <w:p w14:paraId="00100020" w14:textId="00100021">
      <w:pPr>
        <w:pStyle w:val="Normal"/>
        <w:spacing w:after="80"/>
      </w:pPr>
      <w:r>
        <w:rPr>
          <w:sz w:val="22"/>
        </w:rPr>
        <w:t xml:space="preserve">7. Analytical Methodology and KPI Calculation</w:t>
      </w:r>
    </w:p>
    <w:p w14:paraId="00100022" w14:textId="00100023">
      <w:pPr>
        <w:pStyle w:val="Normal"/>
        <w:spacing w:after="80"/>
      </w:pPr>
      <w:r>
        <w:rPr>
          <w:sz w:val="22"/>
        </w:rPr>
        <w:t xml:space="preserve">8. Dashboard and UI</w:t>
      </w:r>
    </w:p>
    <w:p w14:paraId="00100024" w14:textId="00100025">
      <w:pPr>
        <w:pStyle w:val="Normal"/>
        <w:spacing w:after="80"/>
      </w:pPr>
      <w:r>
        <w:rPr>
          <w:sz w:val="22"/>
        </w:rPr>
        <w:t xml:space="preserve">9. Analysis and Visualizations</w:t>
      </w:r>
    </w:p>
    <w:p w14:paraId="00100026" w14:textId="00100027">
      <w:pPr>
        <w:pStyle w:val="Normal"/>
        <w:spacing w:after="80"/>
      </w:pPr>
      <w:r>
        <w:rPr>
          <w:sz w:val="22"/>
        </w:rPr>
        <w:t xml:space="preserve">10. Key Findings</w:t>
      </w:r>
    </w:p>
    <w:p w14:paraId="00100028" w14:textId="00100029">
      <w:pPr>
        <w:pStyle w:val="Normal"/>
        <w:spacing w:after="80"/>
      </w:pPr>
      <w:r>
        <w:rPr>
          <w:sz w:val="22"/>
        </w:rPr>
        <w:t xml:space="preserve">11. Business Insights and Actions</w:t>
      </w:r>
    </w:p>
    <w:p w14:paraId="0010002A" w14:textId="0010002B">
      <w:pPr>
        <w:pStyle w:val="Normal"/>
        <w:spacing w:after="80"/>
      </w:pPr>
      <w:r>
        <w:rPr>
          <w:sz w:val="22"/>
        </w:rPr>
        <w:t xml:space="preserve">12. Risks and Limitations</w:t>
      </w:r>
    </w:p>
    <w:p w14:paraId="0010002C" w14:textId="0010002D">
      <w:pPr>
        <w:pStyle w:val="Normal"/>
        <w:spacing w:after="480"/>
      </w:pPr>
      <w:r>
        <w:rPr>
          <w:sz w:val="22"/>
        </w:rPr>
        <w:t xml:space="preserve">13. Conclusion</w:t>
      </w:r>
    </w:p>
    <w:p w14:paraId="0010002E" w14:textId="0010002F">
      <w:pPr>
        <w:pStyle w:val="Heading1"/>
        <w:spacing w:before="240" w:after="160"/>
      </w:pPr>
      <w:r>
        <w:rPr>
          <w:b/>
          <w:color w:val="1A3A5C"/>
          <w:sz w:val="32"/>
        </w:rPr>
        <w:t xml:space="preserve">1. Project Overview</w:t>
      </w:r>
    </w:p>
    <w:p w14:paraId="00100030" w14:textId="00100031">
      <w:pPr>
        <w:pStyle w:val="Normal"/>
        <w:spacing w:after="120"/>
      </w:pPr>
      <w:r>
        <w:rPr>
          <w:sz w:val="22"/>
        </w:rPr>
        <w:t xml:space="preserve">This project is a data analytics case study on credit card customer spending and repayment behaviour. It was developed as part of the AICTE | IBM SkillsBuild Data Analytics with AI Internship 2026 under BharatCares.</w:t>
      </w:r>
    </w:p>
    <w:p w14:paraId="00100032" w14:textId="00100033">
      <w:pPr>
        <w:pStyle w:val="Normal"/>
        <w:spacing w:after="120"/>
      </w:pPr>
      <w:r>
        <w:rPr>
          <w:sz w:val="22"/>
        </w:rPr>
        <w:t xml:space="preserve">The project uses three structured CSV datasets containing customer demographics, spending transactions, and repayment records. Python was used for data loading, cleaning, and analysis. A multi-page interactive HTML dashboard was built to present the results clearly.</w:t>
      </w:r>
    </w:p>
    <w:p w14:paraId="00100034" w14:textId="00100035">
      <w:pPr>
        <w:pStyle w:val="Normal"/>
        <w:spacing w:after="240"/>
      </w:pPr>
      <w:r>
        <w:rPr>
          <w:sz w:val="22"/>
        </w:rPr>
        <w:t xml:space="preserve">The entire analysis follows the Data → Information → Insights → Decision → Action framework taught in the internship, with each step demonstrated through actual project outputs.</w:t>
      </w:r>
    </w:p>
    <w:p w14:paraId="00100036" w14:textId="00100037">
      <w:pPr>
        <w:pStyle w:val="Heading1"/>
        <w:spacing w:before="240" w:after="160"/>
      </w:pPr>
      <w:r>
        <w:rPr>
          <w:b/>
          <w:color w:val="1A3A5C"/>
          <w:sz w:val="32"/>
        </w:rPr>
        <w:t xml:space="preserve">2. Problem Statement</w:t>
      </w:r>
    </w:p>
    <w:p w14:paraId="00100038" w14:textId="00100039">
      <w:pPr>
        <w:pStyle w:val="Normal"/>
        <w:spacing w:after="120"/>
      </w:pPr>
      <w:r>
        <w:rPr>
          <w:sz w:val="22"/>
        </w:rPr>
        <w:t xml:space="preserve">Banks and financial institutions issue credit cards to thousands of customers. They need to know how much each customer is spending, how much they are repaying, and which customers are at risk of building up large unpaid balances.</w:t>
      </w:r>
    </w:p>
    <w:p w14:paraId="0010003A" w14:textId="0010003B">
      <w:pPr>
        <w:pStyle w:val="Normal"/>
        <w:spacing w:after="120"/>
      </w:pPr>
      <w:r>
        <w:rPr>
          <w:sz w:val="22"/>
        </w:rPr>
        <w:t xml:space="preserve">Without this analysis, the bank cannot identify high-risk customers early, cannot understand which customer segments need attention, and cannot make informed decisions about credit limits or repayment strategies.</w:t>
      </w:r>
    </w:p>
    <w:p w14:paraId="0010003C" w14:textId="0010003D">
      <w:pPr>
        <w:pStyle w:val="Normal"/>
        <w:spacing w:after="80"/>
      </w:pPr>
      <w:r>
        <w:rPr>
          <w:sz w:val="22"/>
        </w:rPr>
        <w:t xml:space="preserve">This project answers the following questions from the data:</w:t>
      </w:r>
    </w:p>
    <w:p w14:paraId="0010003E" w14:textId="0010003F">
      <w:pPr>
        <w:pStyle w:val="Normal"/>
        <w:numPr>
          <w:ilvl w:val="0"/>
          <w:numId w:val="1"/>
        </w:numPr>
        <w:spacing w:after="60"/>
      </w:pPr>
      <w:r>
        <w:rPr>
          <w:sz w:val="22"/>
        </w:rPr>
        <w:t xml:space="preserve">How much has each customer spent and repaid over the period 2004–2006?</w:t>
      </w:r>
    </w:p>
    <w:p w14:paraId="00100040" w14:textId="00100041">
      <w:pPr>
        <w:pStyle w:val="Normal"/>
        <w:numPr>
          <w:ilvl w:val="0"/>
          <w:numId w:val="1"/>
        </w:numPr>
        <w:spacing w:after="60"/>
      </w:pPr>
      <w:r>
        <w:rPr>
          <w:sz w:val="22"/>
        </w:rPr>
        <w:t xml:space="preserve">Which customers have outstanding balances, and how large are those balances?</w:t>
      </w:r>
    </w:p>
    <w:p w14:paraId="00100042" w14:textId="00100043">
      <w:pPr>
        <w:pStyle w:val="Normal"/>
        <w:numPr>
          <w:ilvl w:val="0"/>
          <w:numId w:val="1"/>
        </w:numPr>
        <w:spacing w:after="60"/>
      </w:pPr>
      <w:r>
        <w:rPr>
          <w:sz w:val="22"/>
        </w:rPr>
        <w:t xml:space="preserve">Which customer segments (by employment type) and age groups are the biggest spenders?</w:t>
      </w:r>
    </w:p>
    <w:p w14:paraId="00100044" w14:textId="00100045">
      <w:pPr>
        <w:pStyle w:val="Normal"/>
        <w:numPr>
          <w:ilvl w:val="0"/>
          <w:numId w:val="1"/>
        </w:numPr>
        <w:spacing w:after="60"/>
      </w:pPr>
      <w:r>
        <w:rPr>
          <w:sz w:val="22"/>
        </w:rPr>
        <w:t xml:space="preserve">How is spending distributed across Needs, Travel, and Shopping categories?</w:t>
      </w:r>
    </w:p>
    <w:p w14:paraId="00100046" w14:textId="00100047">
      <w:pPr>
        <w:pStyle w:val="Normal"/>
        <w:numPr>
          <w:ilvl w:val="0"/>
          <w:numId w:val="1"/>
        </w:numPr>
        <w:spacing w:after="240"/>
      </w:pPr>
      <w:r>
        <w:rPr>
          <w:sz w:val="22"/>
        </w:rPr>
        <w:t xml:space="preserve">What are the monthly spending and repayment trends over three years?</w:t>
      </w:r>
    </w:p>
    <w:p w14:paraId="00100048" w14:textId="00100049">
      <w:pPr>
        <w:pStyle w:val="Heading1"/>
        <w:spacing w:before="240" w:after="160"/>
      </w:pPr>
      <w:r>
        <w:rPr>
          <w:b/>
          <w:color w:val="1A3A5C"/>
          <w:sz w:val="32"/>
        </w:rPr>
        <w:t xml:space="preserve">3. Objectives</w:t>
      </w:r>
    </w:p>
    <w:p w14:paraId="0010004A" w14:textId="0010004B">
      <w:pPr>
        <w:pStyle w:val="Normal"/>
        <w:spacing w:after="80"/>
      </w:pPr>
      <w:r>
        <w:rPr>
          <w:sz w:val="22"/>
        </w:rPr>
        <w:t xml:space="preserve">The primary objectives of this project are:</w:t>
      </w:r>
    </w:p>
    <w:p w14:paraId="0010004C" w14:textId="0010004D">
      <w:pPr>
        <w:pStyle w:val="Normal"/>
        <w:numPr>
          <w:ilvl w:val="0"/>
          <w:numId w:val="2"/>
        </w:numPr>
        <w:spacing w:after="60"/>
      </w:pPr>
      <w:r>
        <w:rPr>
          <w:sz w:val="22"/>
        </w:rPr>
        <w:t xml:space="preserve">Load and clean three real-world banking datasets and merge them for analysis.</w:t>
      </w:r>
    </w:p>
    <w:p w14:paraId="0010004E" w14:textId="0010004F">
      <w:pPr>
        <w:pStyle w:val="Normal"/>
        <w:numPr>
          <w:ilvl w:val="0"/>
          <w:numId w:val="2"/>
        </w:numPr>
        <w:spacing w:after="60"/>
      </w:pPr>
      <w:r>
        <w:rPr>
          <w:sz w:val="22"/>
        </w:rPr>
        <w:t xml:space="preserve">Calculate customer-level KPIs: total spending, total repayment, net outstanding, and repayment coverage percentage.</w:t>
      </w:r>
    </w:p>
    <w:p w14:paraId="00100050" w14:textId="00100051">
      <w:pPr>
        <w:pStyle w:val="Normal"/>
        <w:numPr>
          <w:ilvl w:val="0"/>
          <w:numId w:val="2"/>
        </w:numPr>
        <w:spacing w:after="60"/>
      </w:pPr>
      <w:r>
        <w:rPr>
          <w:sz w:val="22"/>
        </w:rPr>
        <w:t xml:space="preserve">Identify customers who have outstanding balances and rank them by risk level.</w:t>
      </w:r>
    </w:p>
    <w:p w14:paraId="00100052" w14:textId="00100053">
      <w:pPr>
        <w:pStyle w:val="Normal"/>
        <w:numPr>
          <w:ilvl w:val="0"/>
          <w:numId w:val="2"/>
        </w:numPr>
        <w:spacing w:after="60"/>
      </w:pPr>
      <w:r>
        <w:rPr>
          <w:sz w:val="22"/>
        </w:rPr>
        <w:t xml:space="preserve">Analyse spending patterns by customer segment (employment type), age group, and spending category.</w:t>
      </w:r>
    </w:p>
    <w:p w14:paraId="00100054" w14:textId="00100055">
      <w:pPr>
        <w:pStyle w:val="Normal"/>
        <w:numPr>
          <w:ilvl w:val="0"/>
          <w:numId w:val="2"/>
        </w:numPr>
        <w:spacing w:after="60"/>
      </w:pPr>
      <w:r>
        <w:rPr>
          <w:sz w:val="22"/>
        </w:rPr>
        <w:t xml:space="preserve">Study monthly spending and repayment trends over the period January 2004 to December 2006.</w:t>
      </w:r>
    </w:p>
    <w:p w14:paraId="00100056" w14:textId="00100057">
      <w:pPr>
        <w:pStyle w:val="Normal"/>
        <w:numPr>
          <w:ilvl w:val="0"/>
          <w:numId w:val="2"/>
        </w:numPr>
        <w:spacing w:after="60"/>
      </w:pPr>
      <w:r>
        <w:rPr>
          <w:sz w:val="22"/>
        </w:rPr>
        <w:t xml:space="preserve">Build a clean, professional dashboard that allows an evaluator to explore the data and findings interactively.</w:t>
      </w:r>
    </w:p>
    <w:p w14:paraId="00100058" w14:textId="00100059">
      <w:pPr>
        <w:pStyle w:val="Normal"/>
        <w:numPr>
          <w:ilvl w:val="0"/>
          <w:numId w:val="2"/>
        </w:numPr>
        <w:spacing w:after="240"/>
      </w:pPr>
      <w:r>
        <w:rPr>
          <w:sz w:val="22"/>
        </w:rPr>
        <w:t xml:space="preserve">Translate the findings into actionable business recommendations.</w:t>
      </w:r>
    </w:p>
    <w:p w14:paraId="0010005A" w14:textId="0010005B">
      <w:pPr>
        <w:pStyle w:val="Heading1"/>
        <w:spacing w:before="240" w:after="160"/>
      </w:pPr>
      <w:r>
        <w:rPr>
          <w:b/>
          <w:color w:val="1A3A5C"/>
          <w:sz w:val="32"/>
        </w:rPr>
        <w:t xml:space="preserve">4. Dataset Description</w:t>
      </w:r>
    </w:p>
    <w:p w14:paraId="0010005C" w14:textId="0010005D">
      <w:pPr>
        <w:pStyle w:val="Normal"/>
        <w:spacing w:after="160"/>
      </w:pPr>
      <w:r>
        <w:rPr>
          <w:sz w:val="22"/>
        </w:rPr>
        <w:t xml:space="preserve">The project uses three CSV datasets. All three datasets were provided as part of the internship project. No external or synthetic data was used.</w:t>
      </w:r>
    </w:p>
    <w:p w14:paraId="00100060" w14:textId="00100061">
      <w:pPr>
        <w:pStyle w:val="Normal"/>
        <w:spacing w:after="240"/>
        <w:jc w:val="center"/>
      </w:pPr>
      <w:r>
        <w:rPr>
          <w:color w:val="666666"/>
          <w:sz w:val="20"/>
        </w:rPr>
        <w:t xml:space="preserve">Table 1. Dataset summary</w:t>
      </w:r>
    </w:p>
    <w:p w14:paraId="00100082" w14:textId="00100083">
      <w:pPr>
        <w:pStyle w:val="Normal"/>
        <w:spacing w:before="160" w:after="80"/>
      </w:pPr>
      <w:r>
        <w:rPr>
          <w:sz w:val="22"/>
        </w:rPr>
        <w:t xml:space="preserve">Additional dataset details:</w:t>
      </w:r>
    </w:p>
    <w:p w14:paraId="00100084" w14:textId="00100085">
      <w:pPr>
        <w:pStyle w:val="Normal"/>
        <w:numPr>
          <w:ilvl w:val="0"/>
          <w:numId w:val="3"/>
        </w:numPr>
        <w:spacing w:after="60"/>
      </w:pPr>
      <w:r>
        <w:rPr>
          <w:sz w:val="22"/>
        </w:rPr>
        <w:t xml:space="preserve">Customer data includes 100 unique customers across 8 cities: Bangalore, Bombay, Calcutta, Chennai, Cochin, Delhi, Patna, and Trivandrum.</w:t>
      </w:r>
    </w:p>
    <w:p w14:paraId="00100086" w14:textId="00100087">
      <w:pPr>
        <w:pStyle w:val="Normal"/>
        <w:numPr>
          <w:ilvl w:val="0"/>
          <w:numId w:val="3"/>
        </w:numPr>
        <w:spacing w:after="60"/>
      </w:pPr>
      <w:r>
        <w:rPr>
          <w:sz w:val="22"/>
        </w:rPr>
        <w:t xml:space="preserve">Customers are classified into 5 segments: Normal Salary, Salaried_MNC, Salaried_Pvt, Govt, and Self Employed.</w:t>
      </w:r>
    </w:p>
    <w:p w14:paraId="00100088" w14:textId="00100089">
      <w:pPr>
        <w:pStyle w:val="Normal"/>
        <w:numPr>
          <w:ilvl w:val="0"/>
          <w:numId w:val="3"/>
        </w:numPr>
        <w:spacing w:after="60"/>
      </w:pPr>
      <w:r>
        <w:rPr>
          <w:sz w:val="22"/>
        </w:rPr>
        <w:t xml:space="preserve">Credit card products include: Gold, Silver, and Platinum.</w:t>
      </w:r>
    </w:p>
    <w:p w14:paraId="0010008A" w14:textId="0010008B">
      <w:pPr>
        <w:pStyle w:val="Normal"/>
        <w:numPr>
          <w:ilvl w:val="0"/>
          <w:numId w:val="3"/>
        </w:numPr>
        <w:spacing w:after="60"/>
      </w:pPr>
      <w:r>
        <w:rPr>
          <w:sz w:val="22"/>
        </w:rPr>
        <w:t xml:space="preserve">Spending covers 15 transaction types mapped to three categories: Needs (Food, Petro, Clothes, Rental), Travel (Air Ticket, Bus Ticket, Train Ticket, Bike, Car, Auto), and Shopping (Shopping, Camera, Jewellery, Sandals, Movie Ticket).</w:t>
      </w:r>
    </w:p>
    <w:p w14:paraId="0010008C" w14:textId="0010008D">
      <w:pPr>
        <w:pStyle w:val="Normal"/>
        <w:numPr>
          <w:ilvl w:val="0"/>
          <w:numId w:val="3"/>
        </w:numPr>
        <w:spacing w:after="240"/>
      </w:pPr>
      <w:r>
        <w:rPr>
          <w:sz w:val="22"/>
        </w:rPr>
        <w:t xml:space="preserve">The data spans 30 distinct months from January 2004 to December 2006.</w:t>
      </w:r>
    </w:p>
    <w:p w14:paraId="0010008E" w14:textId="0010008F">
      <w:pPr>
        <w:pStyle w:val="Heading1"/>
        <w:spacing w:before="240" w:after="160"/>
      </w:pPr>
      <w:r>
        <w:rPr>
          <w:b/>
          <w:color w:val="1A3A5C"/>
          <w:sz w:val="32"/>
        </w:rPr>
        <w:t xml:space="preserve">5. How the Project Works</w:t>
      </w:r>
    </w:p>
    <w:p w14:paraId="00100090" w14:textId="00100091">
      <w:pPr>
        <w:pStyle w:val="Normal"/>
        <w:spacing w:after="160"/>
      </w:pPr>
      <w:r>
        <w:rPr>
          <w:sz w:val="22"/>
        </w:rPr>
        <w:t xml:space="preserve">The project follows a clear end-to-end pipeline. The steps below describe the actual implementation as written in Credit Banking.py:</w:t>
      </w:r>
    </w:p>
    <w:p w14:paraId="00100092" w14:textId="00100093">
      <w:pPr>
        <w:pStyle w:val="Heading2"/>
        <w:spacing w:before="160" w:after="80"/>
      </w:pPr>
      <w:r>
        <w:rPr>
          <w:b/>
          <w:color w:val="2563A8"/>
          <w:sz w:val="26"/>
        </w:rPr>
        <w:t xml:space="preserve">Step 1 — Input Datasets</w:t>
      </w:r>
    </w:p>
    <w:p w14:paraId="00100094" w14:textId="00100095">
      <w:pPr>
        <w:pStyle w:val="Normal"/>
        <w:spacing w:after="160"/>
      </w:pPr>
      <w:r>
        <w:rPr>
          <w:sz w:val="22"/>
        </w:rPr>
        <w:t xml:space="preserve">Three CSV files are loaded using pd.read_csv(): the customer demographics file (100 rows), the spending file (1,500 rows), and the repayment file (1,523 rows). These represent the raw data collected from credit card operations.</w:t>
      </w:r>
    </w:p>
    <w:p w14:paraId="00100096" w14:textId="00100097">
      <w:pPr>
        <w:pStyle w:val="Heading2"/>
        <w:spacing w:before="160" w:after="80"/>
      </w:pPr>
      <w:r>
        <w:rPr>
          <w:b/>
          <w:color w:val="2563A8"/>
          <w:sz w:val="26"/>
        </w:rPr>
        <w:t xml:space="preserve">Step 2 — Data Cleaning and Preparation</w:t>
      </w:r>
    </w:p>
    <w:p w14:paraId="00100098" w14:textId="00100099">
      <w:pPr>
        <w:pStyle w:val="Normal"/>
        <w:spacing w:after="80"/>
      </w:pPr>
      <w:r>
        <w:rPr>
          <w:sz w:val="22"/>
        </w:rPr>
        <w:t xml:space="preserve">The main cleaning step handles invalid age values. Some customers in the dataset have ages below 18 or above 90, which are clearly erroneous. The code calculates the mean age of valid customers (those between 18 and 90), which turns out to be approximately 49.29 years, and replaces the invalid ages with this mean. This ensures age-based analysis is not distorted by outliers.</w:t>
      </w:r>
    </w:p>
    <w:p w14:paraId="0010009A" w14:textId="0010009B">
      <w:pPr>
        <w:pStyle w:val="Normal"/>
        <w:spacing w:after="160"/>
      </w:pPr>
      <w:r>
        <w:rPr>
          <w:sz w:val="22"/>
        </w:rPr>
        <w:t xml:space="preserve">Column names in the repayment and spending files are also standardised to remove inconsistencies (the original files use Costomer instead of Customer, for example). Unnecessary columns such as serial number columns and an unnamed trailing column in the repayment file are dropped.</w:t>
      </w:r>
    </w:p>
    <w:p w14:paraId="0010009C" w14:textId="0010009D">
      <w:pPr>
        <w:pStyle w:val="Heading2"/>
        <w:spacing w:before="160" w:after="80"/>
      </w:pPr>
      <w:r>
        <w:rPr>
          <w:b/>
          <w:color w:val="2563A8"/>
          <w:sz w:val="26"/>
        </w:rPr>
        <w:t xml:space="preserve">Step 3 — Customer-Level Aggregation</w:t>
      </w:r>
    </w:p>
    <w:p w14:paraId="0010009E" w14:textId="0010009F">
      <w:pPr>
        <w:pStyle w:val="Normal"/>
        <w:spacing w:after="160"/>
      </w:pPr>
      <w:r>
        <w:rPr>
          <w:sz w:val="22"/>
        </w:rPr>
        <w:t xml:space="preserve">The spending and repayment data are grouped by Customer and their Amount values summed. This produces two aggregated DataFrames — total spending per customer and total repayment per customer. These are then merged using an inner join on the Customer column to create a unified customer-level dataset.</w:t>
      </w:r>
    </w:p>
    <w:p w14:paraId="001000A0" w14:textId="001000A1">
      <w:pPr>
        <w:pStyle w:val="Heading2"/>
        <w:spacing w:before="160" w:after="80"/>
      </w:pPr>
      <w:r>
        <w:rPr>
          <w:b/>
          <w:color w:val="2563A8"/>
          <w:sz w:val="26"/>
        </w:rPr>
        <w:t xml:space="preserve">Step 4 — KPI Calculation</w:t>
      </w:r>
    </w:p>
    <w:p w14:paraId="001000A2" w14:textId="001000A3">
      <w:pPr>
        <w:pStyle w:val="Normal"/>
        <w:spacing w:after="160"/>
      </w:pPr>
      <w:r>
        <w:rPr>
          <w:sz w:val="22"/>
        </w:rPr>
        <w:t xml:space="preserve">From the merged dataset, three key customer-level metrics are calculated for each customer: Outstanding Amount (Spent minus Repaid), Repayment Coverage Percentage ((Repaid / Spent) × 100), and Surplus (cases where repayment exceeds spending, indicating over-payment or advance repayment). Portfolio-level KPIs are then derived by summing across all customers.</w:t>
      </w:r>
    </w:p>
    <w:p w14:paraId="001000A4" w14:textId="001000A5">
      <w:pPr>
        <w:pStyle w:val="Heading2"/>
        <w:spacing w:before="160" w:after="80"/>
      </w:pPr>
      <w:r>
        <w:rPr>
          <w:b/>
          <w:color w:val="2563A8"/>
          <w:sz w:val="26"/>
        </w:rPr>
        <w:t xml:space="preserve">Step 5 — Segment, Age, Category, and Monthly Analysis</w:t>
      </w:r>
    </w:p>
    <w:p w14:paraId="001000A6" w14:textId="001000A7">
      <w:pPr>
        <w:pStyle w:val="Normal"/>
        <w:spacing w:after="160"/>
      </w:pPr>
      <w:r>
        <w:rPr>
          <w:sz w:val="22"/>
        </w:rPr>
        <w:t xml:space="preserve">Customer demographics are joined with the spending data to analyse behaviour by segment and age group. Customers are grouped into four age bins: A (18–36), B (37–54), C (55–72), and D (73–90). Spending types are mapped to three categories using a dictionary and the .map() method. Monthly spending and repayment are calculated by converting date strings to datetime objects and grouping by period.</w:t>
      </w:r>
    </w:p>
    <w:p w14:paraId="001000A8" w14:textId="001000A9">
      <w:pPr>
        <w:pStyle w:val="Heading2"/>
        <w:spacing w:before="160" w:after="80"/>
      </w:pPr>
      <w:r>
        <w:rPr>
          <w:b/>
          <w:color w:val="2563A8"/>
          <w:sz w:val="26"/>
        </w:rPr>
        <w:t xml:space="preserve">Step 6 — Dashboard and Visualisation</w:t>
      </w:r>
    </w:p>
    <w:p w14:paraId="001000AA" w14:textId="001000AB">
      <w:pPr>
        <w:pStyle w:val="Normal"/>
        <w:spacing w:after="160"/>
      </w:pPr>
      <w:r>
        <w:rPr>
          <w:sz w:val="22"/>
        </w:rPr>
        <w:t xml:space="preserve">The project outputs are presented through a multi-page interactive HTML dashboard (dashboard_ui.html) and a Python Streamlit application (dashboard.py). The dashboard has seven views: Main Dashboard, Spending vs Repayment, Customer Segments, Age Group Analysis, Category Analysis, Monthly Trends, and Customer Monitoring.</w:t>
      </w:r>
    </w:p>
    <w:p w14:paraId="001000AC" w14:textId="001000AD">
      <w:pPr>
        <w:pStyle w:val="Heading1"/>
        <w:spacing w:before="240" w:after="160"/>
      </w:pPr>
      <w:r>
        <w:rPr>
          <w:b/>
          <w:color w:val="1A3A5C"/>
          <w:sz w:val="32"/>
        </w:rPr>
        <w:t xml:space="preserve">6. Data Cleaning and Preparation</w:t>
      </w:r>
    </w:p>
    <w:p w14:paraId="001000AE" w14:textId="001000AF">
      <w:pPr>
        <w:pStyle w:val="Normal"/>
        <w:spacing w:after="120"/>
      </w:pPr>
      <w:r>
        <w:rPr>
          <w:sz w:val="22"/>
        </w:rPr>
        <w:t xml:space="preserve">The following cleaning steps were applied to the raw data before analysis:</w:t>
      </w:r>
    </w:p>
    <w:p w14:paraId="001000B0" w14:textId="001000B1">
      <w:pPr>
        <w:pStyle w:val="Normal"/>
        <w:numPr>
          <w:ilvl w:val="0"/>
          <w:numId w:val="4"/>
        </w:numPr>
        <w:spacing w:after="80"/>
      </w:pPr>
      <w:r>
        <w:rPr>
          <w:sz w:val="22"/>
        </w:rPr>
        <w:t xml:space="preserve">Age correction: 22 customers had ages outside the valid range (18–90). These were replaced with the mean age of valid customers (49.29 years). This affected the age group analysis but not the spending or repayment calculations.</w:t>
      </w:r>
    </w:p>
    <w:p w14:paraId="001000B2" w14:textId="001000B3">
      <w:pPr>
        <w:pStyle w:val="Normal"/>
        <w:numPr>
          <w:ilvl w:val="0"/>
          <w:numId w:val="4"/>
        </w:numPr>
        <w:spacing w:after="80"/>
      </w:pPr>
      <w:r>
        <w:rPr>
          <w:sz w:val="22"/>
        </w:rPr>
        <w:t xml:space="preserve">Column standardisation: The spend and repayment files originally had a column named Costomer (a typo). This was renamed to Customer to allow proper merging. Serial number columns (Sl No: and SL No:) were dropped.</w:t>
      </w:r>
    </w:p>
    <w:p w14:paraId="001000B4" w14:textId="001000B5">
      <w:pPr>
        <w:pStyle w:val="Normal"/>
        <w:numPr>
          <w:ilvl w:val="0"/>
          <w:numId w:val="4"/>
        </w:numPr>
        <w:spacing w:after="80"/>
      </w:pPr>
      <w:r>
        <w:rPr>
          <w:sz w:val="22"/>
        </w:rPr>
        <w:t xml:space="preserve">Trailing column removal: The repayment.csv file had an unnamed fifth column with null values. This was dropped to clean the DataFrame.</w:t>
      </w:r>
    </w:p>
    <w:p w14:paraId="001000B6" w14:textId="001000B7">
      <w:pPr>
        <w:pStyle w:val="Normal"/>
        <w:numPr>
          <w:ilvl w:val="0"/>
          <w:numId w:val="4"/>
        </w:numPr>
        <w:spacing w:after="80"/>
      </w:pPr>
      <w:r>
        <w:rPr>
          <w:sz w:val="22"/>
        </w:rPr>
        <w:t xml:space="preserve">Date parsing: The Month column in both files used a mixed format (e.g., 12-Jan-04). This was parsed using pd.to_datetime() and then converted to monthly periods for aggregation.</w:t>
      </w:r>
    </w:p>
    <w:p w14:paraId="001000B8" w14:textId="001000B9">
      <w:pPr>
        <w:pStyle w:val="Normal"/>
        <w:numPr>
          <w:ilvl w:val="0"/>
          <w:numId w:val="4"/>
        </w:numPr>
        <w:spacing w:after="240"/>
      </w:pPr>
      <w:r>
        <w:rPr>
          <w:sz w:val="22"/>
        </w:rPr>
        <w:t xml:space="preserve">Category mapping: The 15 spending types were mapped to 3 categories (Needs, Travel, Shopping) using a reverse dictionary lookup applied with the .map() method.</w:t>
      </w:r>
    </w:p>
    <w:p w14:paraId="001000BA" w14:textId="001000BB">
      <w:pPr>
        <w:pStyle w:val="Heading1"/>
        <w:spacing w:before="240" w:after="160"/>
      </w:pPr>
      <w:r>
        <w:rPr>
          <w:b/>
          <w:color w:val="1A3A5C"/>
          <w:sz w:val="32"/>
        </w:rPr>
        <w:t xml:space="preserve">7. Analytical Methodology and KPI Calculation</w:t>
      </w:r>
    </w:p>
    <w:p w14:paraId="001000BC" w14:textId="001000BD">
      <w:pPr>
        <w:pStyle w:val="Normal"/>
        <w:spacing w:after="160"/>
      </w:pPr>
      <w:r>
        <w:rPr>
          <w:sz w:val="22"/>
        </w:rPr>
        <w:t xml:space="preserve">All KPIs in this report are calculated directly from the three datasets. No values have been estimated or invented. The table below shows the portfolio-level KPIs computed from the actual data:</w:t>
      </w:r>
    </w:p>
    <w:p w14:paraId="001000C0" w14:textId="001000C1">
      <w:pPr>
        <w:pStyle w:val="Normal"/>
        <w:spacing w:after="240"/>
        <w:jc w:val="center"/>
      </w:pPr>
      <w:r>
        <w:rPr>
          <w:color w:val="666666"/>
          <w:sz w:val="20"/>
        </w:rPr>
        <w:t xml:space="preserve">Table 2. Portfolio-level KPIs from actual datasets</w:t>
      </w:r>
    </w:p>
    <w:p w14:paraId="001000C2" w14:textId="001000C3">
      <w:pPr>
        <w:pStyle w:val="Normal"/>
        <w:spacing w:after="60"/>
      </w:pPr>
      <w:r>
        <w:rPr>
          <w:b/>
          <w:sz w:val="22"/>
        </w:rPr>
        <w:t xml:space="preserve">Table 1: Dataset Summary</w:t>
      </w:r>
    </w:p>
    <w:p w14:paraId="001000C4" w14:textId="001000C5">
      <w:pPr>
        <w:pStyle w:val="Normal"/>
        <w:spacing w:after="0"/>
      </w:pPr>
      <w:r>
        <w:rPr>
          <w:color w:val="FFFFFF"/>
          <w:sz w:val="20"/>
        </w:rPr>
        <w:t xml:space="preserve">Dataset File              |  Rows  |  Key Columns                                      |  Purpose</w:t>
      </w:r>
    </w:p>
    <w:p w14:paraId="001000C6" w14:textId="001000C7">
      <w:pPr>
        <w:pStyle w:val="Normal"/>
        <w:spacing w:after="0"/>
      </w:pPr>
      <w:r>
        <w:rPr>
          <w:sz w:val="20"/>
        </w:rPr>
        <w:t xml:space="preserve">Credit Banking_Project1.csv  |  100   |  Customer, Age, City, Segment, Product, Limit     |  Customer demographics</w:t>
      </w:r>
    </w:p>
    <w:p w14:paraId="001000C8" w14:textId="001000C9">
      <w:pPr>
        <w:pStyle w:val="Normal"/>
        <w:spacing w:after="0"/>
      </w:pPr>
      <w:r>
        <w:rPr>
          <w:sz w:val="20"/>
        </w:rPr>
        <w:t xml:space="preserve">spend.csv                    |  1,500 |  Customer, Month, Type, Amount                    |  Spending transactions</w:t>
      </w:r>
    </w:p>
    <w:p w14:paraId="001000CA" w14:textId="001000CB">
      <w:pPr>
        <w:pStyle w:val="Normal"/>
        <w:spacing w:after="200"/>
      </w:pPr>
      <w:r>
        <w:rPr>
          <w:sz w:val="20"/>
        </w:rPr>
        <w:t xml:space="preserve">repayment.csv                |  1,523 |  Customer, Month, Amount                          |  Repayment records</w:t>
      </w:r>
    </w:p>
    <w:p w14:paraId="001000CC" w14:textId="001000CD">
      <w:pPr>
        <w:pStyle w:val="Normal"/>
        <w:spacing w:before="160" w:after="60"/>
      </w:pPr>
      <w:r>
        <w:rPr>
          <w:b/>
          <w:sz w:val="22"/>
        </w:rPr>
        <w:t xml:space="preserve">Table 2: Portfolio-Level KPIs (Calculated from Actual Datasets)</w:t>
      </w:r>
    </w:p>
    <w:p w14:paraId="001000CE" w14:textId="001000CF">
      <w:pPr>
        <w:pStyle w:val="Normal"/>
        <w:spacing w:after="40"/>
      </w:pPr>
      <w:r>
        <w:rPr>
          <w:sz w:val="22"/>
        </w:rPr>
        <w:t xml:space="preserve">Total Customers:                100 unique card holders</w:t>
      </w:r>
    </w:p>
    <w:p w14:paraId="001000D0" w14:textId="001000D1">
      <w:pPr>
        <w:pStyle w:val="Normal"/>
        <w:spacing w:after="40"/>
      </w:pPr>
      <w:r>
        <w:rPr>
          <w:sz w:val="22"/>
        </w:rPr>
        <w:t xml:space="preserve">Total Spending:                 Rs. 38,13,52,045 (Rs. 38.14 Crores)</w:t>
      </w:r>
    </w:p>
    <w:p w14:paraId="001000D2" w14:textId="001000D3">
      <w:pPr>
        <w:pStyle w:val="Normal"/>
        <w:spacing w:after="40"/>
      </w:pPr>
      <w:r>
        <w:rPr>
          <w:sz w:val="22"/>
        </w:rPr>
        <w:t xml:space="preserve">Total Repayment:                Rs. 37,12,08,444 (Rs. 37.12 Crores)</w:t>
      </w:r>
    </w:p>
    <w:p w14:paraId="001000D4" w14:textId="001000D5">
      <w:pPr>
        <w:pStyle w:val="Normal"/>
        <w:spacing w:after="40"/>
      </w:pPr>
      <w:r>
        <w:rPr>
          <w:sz w:val="22"/>
        </w:rPr>
        <w:t xml:space="preserve">Net Outstanding:                Rs. 1,01,43,601  (Rs. 1.01 Crores)</w:t>
      </w:r>
    </w:p>
    <w:p w14:paraId="001000D6" w14:textId="001000D7">
      <w:pPr>
        <w:pStyle w:val="Normal"/>
        <w:spacing w:after="40"/>
      </w:pPr>
      <w:r>
        <w:rPr>
          <w:sz w:val="22"/>
        </w:rPr>
        <w:t xml:space="preserve">Repayment Coverage:             97.34% of total spending is repaid</w:t>
      </w:r>
    </w:p>
    <w:p w14:paraId="001000D8" w14:textId="001000D9">
      <w:pPr>
        <w:pStyle w:val="Normal"/>
        <w:spacing w:after="40"/>
      </w:pPr>
      <w:r>
        <w:rPr>
          <w:sz w:val="22"/>
        </w:rPr>
        <w:t xml:space="preserve">Customers with Outstanding:     55 out of 100 (55%) have outstanding balances</w:t>
      </w:r>
    </w:p>
    <w:p w14:paraId="001000DA" w14:textId="001000DB">
      <w:pPr>
        <w:pStyle w:val="Normal"/>
        <w:spacing w:after="240"/>
      </w:pPr>
      <w:r>
        <w:rPr>
          <w:sz w:val="22"/>
        </w:rPr>
        <w:t xml:space="preserve">Total At-Risk Outstanding:      Rs. 3,34,09,172 (from 55 at-risk customers)</w:t>
      </w:r>
    </w:p>
    <w:p w14:paraId="001000DC" w14:textId="001000DD">
      <w:pPr>
        <w:pStyle w:val="Normal"/>
        <w:spacing w:after="240"/>
      </w:pPr>
      <w:r>
        <w:rPr>
          <w:sz w:val="22"/>
        </w:rPr>
        <w:t xml:space="preserve">The outstanding amount calculation works as follows: for each customer, if Spent &gt; Repaid, the difference is the customer's outstanding amount. These are summed to get the total at-risk portfolio outstanding. The net outstanding (Rs. 1.01 Cr) is the portfolio-level difference (Total Spent minus Total Repaid). The at-risk outstanding (Rs. 3.34 Cr) is the sum of only those customers who owe money — it excludes the surplus repayments made by the 45 customers who over-repaid.</w:t>
      </w:r>
    </w:p>
    <w:p w14:paraId="001000DE" w14:textId="001000DF">
      <w:pPr>
        <w:spacing w:line="240" w:lineRule="auto"/>
      </w:pPr>
      <w:r>
        <w:rPr/>
        <w:drawing>
          <wp:inline distT="0" distB="0" distL="0" distR="0">
            <wp:extent cx="5760000" cy="3702857"/>
            <wp:effectExtent l="0" t="0" r="0" b="0"/>
            <wp:docPr id="1" name="fig1_dashboard.png" descr=""/>
            <wp:cNvGraphicFramePr>
              <a:graphicFrameLocks noChangeAspect="1"/>
            </wp:cNvGraphicFramePr>
            <a:graphic>
              <a:graphicData uri="http://schemas.openxmlformats.org/drawingml/2006/picture">
                <pic:pic>
                  <pic:nvPicPr>
                    <pic:cNvPr id="1" name="fig1_dashboard.png"/>
                    <pic:cNvPicPr/>
                  </pic:nvPicPr>
                  <pic:blipFill>
                    <a:blip r:embed="R5faf259c632d41ce" cstate="print"/>
                    <a:stretch>
                      <a:fillRect/>
                    </a:stretch>
                  </pic:blipFill>
                  <pic:spPr>
                    <a:xfrm>
                      <a:off x="0" y="0"/>
                      <a:ext cx="5760000" cy="3702857"/>
                    </a:xfrm>
                    <a:prstGeom prst="rect">
                      <a:avLst/>
                    </a:prstGeom>
                  </pic:spPr>
                </pic:pic>
              </a:graphicData>
            </a:graphic>
          </wp:inline>
        </w:drawing>
      </w:r>
    </w:p>
    <w:p w14:paraId="001000E0" w14:textId="001000E1">
      <w:pPr>
        <w:pStyle w:val="Normal"/>
        <w:spacing w:after="280"/>
        <w:jc w:val="center"/>
      </w:pPr>
      <w:r>
        <w:rPr>
          <w:color w:val="555555"/>
          <w:sz w:val="20"/>
        </w:rPr>
        <w:t xml:space="preserve">Figure 1. Main dashboard showing the six KPI cards (100 customers, Rs. 38.14 Cr spending, Rs. 37.12 Cr repayment, Rs. 1.01 Cr outstanding, 97.34% coverage, 55 at-risk customers) alongside overview charts for spending vs repayment, segment distribution, category spending, and age group spending.</w:t>
      </w:r>
    </w:p>
    <w:p w14:paraId="001000E2" w14:textId="001000E3">
      <w:pPr>
        <w:pStyle w:val="Heading2"/>
        <w:spacing w:before="160" w:after="120"/>
      </w:pPr>
      <w:r>
        <w:rPr>
          <w:b/>
          <w:color w:val="2563A8"/>
          <w:sz w:val="26"/>
        </w:rPr>
        <w:t xml:space="preserve">Figure 2. Spending vs Repayment Analysis</w:t>
      </w:r>
    </w:p>
    <w:p w14:paraId="001000E4" w14:textId="001000E5">
      <w:pPr>
        <w:spacing w:line="240" w:lineRule="auto"/>
      </w:pPr>
      <w:r>
        <w:drawing>
          <wp:inline distT="0" distB="0" distL="0" distR="0">
            <wp:extent cx="5760000" cy="3702857"/>
            <wp:effectExtent l="0" t="0" r="0" b="0"/>
            <wp:docPr id="2" name="fig2_spendrepay.png" descr=""/>
            <wp:cNvGraphicFramePr>
              <a:graphicFrameLocks noChangeAspect="1"/>
            </wp:cNvGraphicFramePr>
            <a:graphic>
              <a:graphicData uri="http://schemas.openxmlformats.org/drawingml/2006/picture">
                <pic:pic>
                  <pic:nvPicPr>
                    <pic:cNvPr id="2" name="fig2_spendrepay.png"/>
                    <pic:cNvPicPr/>
                  </pic:nvPicPr>
                  <pic:blipFill>
                    <a:blip r:embed="Re86003efca044b9c" cstate="print"/>
                    <a:stretch>
                      <a:fillRect/>
                    </a:stretch>
                  </pic:blipFill>
                  <pic:spPr>
                    <a:xfrm>
                      <a:off x="0" y="0"/>
                      <a:ext cx="5760000" cy="3702857"/>
                    </a:xfrm>
                    <a:prstGeom prst="rect">
                      <a:avLst/>
                    </a:prstGeom>
                  </pic:spPr>
                </pic:pic>
              </a:graphicData>
            </a:graphic>
          </wp:inline>
        </w:drawing>
      </w:r>
    </w:p>
    <w:p w14:paraId="001000E6" w14:textId="001000E7">
      <w:pPr>
        <w:pStyle w:val="Normal"/>
        <w:spacing w:after="280"/>
        <w:jc w:val="center"/>
      </w:pPr>
      <w:r>
        <w:rPr>
          <w:color w:val="555555"/>
          <w:sz w:val="20"/>
        </w:rPr>
        <w:t xml:space="preserve">Figure 2. Spending vs Repayment page: top 20 customers compared side-by-side, histogram of repayment coverage distribution, and pie chart showing 45 customers fully repaid vs 55 with outstanding balances.</w:t>
      </w:r>
    </w:p>
    <w:p w14:paraId="001000E8" w14:textId="001000E9">
      <w:pPr>
        <w:pStyle w:val="Heading2"/>
        <w:spacing w:before="160" w:after="120"/>
      </w:pPr>
      <w:r>
        <w:rPr>
          <w:b/>
          <w:color w:val="2563A8"/>
          <w:sz w:val="26"/>
        </w:rPr>
        <w:t xml:space="preserve">Figure 3. Customer Segment, Age Group and Category Analysis</w:t>
      </w:r>
    </w:p>
    <w:p w14:paraId="001000EA" w14:textId="001000EB">
      <w:pPr>
        <w:spacing w:line="240" w:lineRule="auto"/>
      </w:pPr>
      <w:r>
        <w:drawing>
          <wp:inline distT="0" distB="0" distL="0" distR="0">
            <wp:extent cx="5760000" cy="3702857"/>
            <wp:effectExtent l="0" t="0" r="0" b="0"/>
            <wp:docPr id="3" name="fig3_seg_age_cat.png" descr=""/>
            <wp:cNvGraphicFramePr>
              <a:graphicFrameLocks noChangeAspect="1"/>
            </wp:cNvGraphicFramePr>
            <a:graphic>
              <a:graphicData uri="http://schemas.openxmlformats.org/drawingml/2006/picture">
                <pic:pic>
                  <pic:nvPicPr>
                    <pic:cNvPr id="3" name="fig3_seg_age_cat.png"/>
                    <pic:cNvPicPr/>
                  </pic:nvPicPr>
                  <pic:blipFill>
                    <a:blip r:embed="Ra0aecd39adbe461d" cstate="print"/>
                    <a:stretch>
                      <a:fillRect/>
                    </a:stretch>
                  </pic:blipFill>
                  <pic:spPr>
                    <a:xfrm>
                      <a:off x="0" y="0"/>
                      <a:ext cx="5760000" cy="3702857"/>
                    </a:xfrm>
                    <a:prstGeom prst="rect">
                      <a:avLst/>
                    </a:prstGeom>
                  </pic:spPr>
                </pic:pic>
              </a:graphicData>
            </a:graphic>
          </wp:inline>
        </w:drawing>
      </w:r>
    </w:p>
    <w:p w14:paraId="001000EC" w14:textId="001000ED">
      <w:pPr>
        <w:pStyle w:val="Normal"/>
        <w:spacing w:after="280"/>
        <w:jc w:val="center"/>
      </w:pPr>
      <w:r>
        <w:rPr>
          <w:color w:val="555555"/>
          <w:sz w:val="20"/>
        </w:rPr>
        <w:t xml:space="preserve">Figure 3. Segment / Age / Category analysis page (Customer Segments tab shown): horizontal bar chart of spending by segment, doughnut chart of segment share, and grouped bar chart comparing spending vs repayment per segment. Tabs allow switching to Age Group and Category views.</w:t>
      </w:r>
    </w:p>
    <w:p w14:paraId="001000EE" w14:textId="001000EF">
      <w:pPr>
        <w:pStyle w:val="Heading2"/>
        <w:spacing w:before="160" w:after="120"/>
      </w:pPr>
      <w:r>
        <w:rPr>
          <w:b/>
          <w:color w:val="2563A8"/>
          <w:sz w:val="26"/>
        </w:rPr>
        <w:t xml:space="preserve">Figure 4. Monthly Trend Analysis</w:t>
      </w:r>
    </w:p>
    <w:p w14:paraId="001000F0" w14:textId="001000F1">
      <w:pPr>
        <w:spacing w:line="240" w:lineRule="auto"/>
      </w:pPr>
      <w:r>
        <w:drawing>
          <wp:inline distT="0" distB="0" distL="0" distR="0">
            <wp:extent cx="5760000" cy="3702857"/>
            <wp:effectExtent l="0" t="0" r="0" b="0"/>
            <wp:docPr id="4" name="fig4_monthly.png" descr=""/>
            <wp:cNvGraphicFramePr>
              <a:graphicFrameLocks noChangeAspect="1"/>
            </wp:cNvGraphicFramePr>
            <a:graphic>
              <a:graphicData uri="http://schemas.openxmlformats.org/drawingml/2006/picture">
                <pic:pic>
                  <pic:nvPicPr>
                    <pic:cNvPr id="4" name="fig4_monthly.png"/>
                    <pic:cNvPicPr/>
                  </pic:nvPicPr>
                  <pic:blipFill>
                    <a:blip r:embed="Rbdeb219ae44d4158" cstate="print"/>
                    <a:stretch>
                      <a:fillRect/>
                    </a:stretch>
                  </pic:blipFill>
                  <pic:spPr>
                    <a:xfrm>
                      <a:off x="0" y="0"/>
                      <a:ext cx="5760000" cy="3702857"/>
                    </a:xfrm>
                    <a:prstGeom prst="rect">
                      <a:avLst/>
                    </a:prstGeom>
                  </pic:spPr>
                </pic:pic>
              </a:graphicData>
            </a:graphic>
          </wp:inline>
        </w:drawing>
      </w:r>
    </w:p>
    <w:p w14:paraId="001000F2" w14:textId="001000F3">
      <w:pPr>
        <w:pStyle w:val="Normal"/>
        <w:spacing w:after="280"/>
        <w:jc w:val="center"/>
      </w:pPr>
      <w:r>
        <w:rPr>
          <w:color w:val="555555"/>
          <w:sz w:val="20"/>
        </w:rPr>
        <w:t xml:space="preserve">Figure 4. Monthly Trend Analysis page: top chart shows monthly spending (blue) vs repayment (green) for all 30 months from Jan 2004 to Dec 2006. Bottom chart shows monthly net outstanding — red bars indicate months where spending exceeded repayment, green bars indicate surplus months. Tables show the top spending and top surplus months.</w:t>
      </w:r>
    </w:p>
    <w:p w14:paraId="001000F4" w14:textId="001000F5">
      <w:pPr>
        <w:pStyle w:val="Heading2"/>
        <w:spacing w:before="160" w:after="120"/>
      </w:pPr>
      <w:r>
        <w:rPr>
          <w:b/>
          <w:color w:val="2563A8"/>
          <w:sz w:val="26"/>
        </w:rPr>
        <w:t xml:space="preserve">Figure 5. Customer Repayment and Outstanding Monitoring</w:t>
      </w:r>
    </w:p>
    <w:p w14:paraId="001000F6" w14:textId="001000F7">
      <w:pPr>
        <w:spacing w:line="240" w:lineRule="auto"/>
      </w:pPr>
      <w:r>
        <w:drawing>
          <wp:inline distT="0" distB="0" distL="0" distR="0">
            <wp:extent cx="5760000" cy="3702857"/>
            <wp:effectExtent l="0" t="0" r="0" b="0"/>
            <wp:docPr id="5" name="fig5_monitoring.png" descr=""/>
            <wp:cNvGraphicFramePr>
              <a:graphicFrameLocks noChangeAspect="1"/>
            </wp:cNvGraphicFramePr>
            <a:graphic>
              <a:graphicData uri="http://schemas.openxmlformats.org/drawingml/2006/picture">
                <pic:pic>
                  <pic:nvPicPr>
                    <pic:cNvPr id="5" name="fig5_monitoring.png"/>
                    <pic:cNvPicPr/>
                  </pic:nvPicPr>
                  <pic:blipFill>
                    <a:blip r:embed="R727b2a5b1a9c4df1" cstate="print"/>
                    <a:stretch>
                      <a:fillRect/>
                    </a:stretch>
                  </pic:blipFill>
                  <pic:spPr>
                    <a:xfrm>
                      <a:off x="0" y="0"/>
                      <a:ext cx="5760000" cy="3702857"/>
                    </a:xfrm>
                    <a:prstGeom prst="rect">
                      <a:avLst/>
                    </a:prstGeom>
                  </pic:spPr>
                </pic:pic>
              </a:graphicData>
            </a:graphic>
          </wp:inline>
        </w:drawing>
      </w:r>
    </w:p>
    <w:p w14:paraId="001000F8" w14:textId="001000F9">
      <w:pPr>
        <w:pStyle w:val="Normal"/>
        <w:spacing w:after="280"/>
        <w:jc w:val="center"/>
      </w:pPr>
      <w:r>
        <w:rPr>
          <w:color w:val="555555"/>
          <w:sz w:val="20"/>
        </w:rPr>
        <w:t xml:space="preserve">Figure 5. Customer Monitoring page: KPI cards show 55 customers with outstanding balances and total outstanding of Rs. 3.34 Cr. Left chart shows top 10 customers by outstanding amount (A23 and A42 highest at Rs. 23.6 L each). Right chart shows top surplus customers. Risk table lists all high-risk customers with coverage percentage.</w:t>
      </w:r>
    </w:p>
    <w:p w14:paraId="001000FA" w14:textId="001000FB">
      <w:pPr>
        <w:pStyle w:val="Heading1"/>
        <w:spacing w:before="240" w:after="160"/>
      </w:pPr>
      <w:r>
        <w:rPr>
          <w:b/>
          <w:color w:val="1A3A5C"/>
          <w:sz w:val="32"/>
        </w:rPr>
        <w:t xml:space="preserve">9. Analysis and Visualizations</w:t>
      </w:r>
    </w:p>
    <w:p w14:paraId="001000FC" w14:textId="001000FD">
      <w:pPr>
        <w:pStyle w:val="Heading2"/>
        <w:spacing w:before="160" w:after="80"/>
      </w:pPr>
      <w:r>
        <w:rPr>
          <w:b/>
          <w:color w:val="2563A8"/>
          <w:sz w:val="26"/>
        </w:rPr>
        <w:t xml:space="preserve">9.1 Customer Segment Analysis</w:t>
      </w:r>
    </w:p>
    <w:p w14:paraId="001000FE" w14:textId="001000FF">
      <w:pPr>
        <w:pStyle w:val="Normal"/>
        <w:spacing w:after="160"/>
      </w:pPr>
      <w:r>
        <w:rPr>
          <w:sz w:val="22"/>
        </w:rPr>
        <w:t xml:space="preserve">The five employment-based segments show distinct spending behaviour. Normal Salary is the largest segment by both customer count and total spending (Rs. 10.77 Cr, 28.2% share) but also has the lowest repayment coverage at 95.4%. This indicates that Normal Salary customers, while spending the most, are also the least disciplined in repayment relative to their spending. Salaried_MNC customers have the highest repayment coverage at 99.3%, suggesting that corporate employees are the most reliable repayers. Self Employed customers show moderate coverage (96.8%), which is consistent with the variable income nature of self-employment.</w:t>
      </w:r>
    </w:p>
    <w:p w14:paraId="00100100" w14:textId="00100101">
      <w:pPr>
        <w:pStyle w:val="Heading2"/>
        <w:spacing w:before="160" w:after="80"/>
      </w:pPr>
      <w:r>
        <w:rPr>
          <w:b/>
          <w:color w:val="2563A8"/>
          <w:sz w:val="26"/>
        </w:rPr>
        <w:t xml:space="preserve">9.2 Age Group Analysis</w:t>
      </w:r>
    </w:p>
    <w:p w14:paraId="00100102" w14:textId="00100103">
      <w:pPr>
        <w:pStyle w:val="Normal"/>
        <w:spacing w:after="160"/>
      </w:pPr>
      <w:r>
        <w:rPr>
          <w:sz w:val="22"/>
        </w:rPr>
        <w:t xml:space="preserve">Customers are grouped into four age brackets after replacing invalid ages with the mean (49.29). The breakdown is: Group A (18–36): 22 customers, Group B (37–54): 45 customers, Group C (55–72): 26 customers, and Group D (73–90): 7 customers. Group B dominates both in count and in spending (Rs. 17.65 Cr, 46.3% of total). This is consistent with real-world banking data, where middle-aged working professionals are typically the primary credit card users. Group D, despite having only 7 customers, still accounts for Rs. 4.29 Cr in spending, indicating that older customers are high-value. Group C (55–72) has the best repayment coverage at 97.9%.</w:t>
      </w:r>
    </w:p>
    <w:p w14:paraId="00100104" w14:textId="00100105">
      <w:pPr>
        <w:pStyle w:val="Heading2"/>
        <w:spacing w:before="160" w:after="80"/>
      </w:pPr>
      <w:r>
        <w:rPr>
          <w:b/>
          <w:color w:val="2563A8"/>
          <w:sz w:val="26"/>
        </w:rPr>
        <w:t xml:space="preserve">9.3 Spending Category Analysis</w:t>
      </w:r>
    </w:p>
    <w:p w14:paraId="00100106" w14:textId="00100107">
      <w:pPr>
        <w:pStyle w:val="Normal"/>
        <w:spacing w:after="160"/>
      </w:pPr>
      <w:r>
        <w:rPr>
          <w:sz w:val="22"/>
        </w:rPr>
        <w:t xml:space="preserve">Spending is divided into three categories: Needs (Rs. 13.50 Cr, 35.4%), Travel (Rs. 12.48 Cr, 32.7%), and Shopping (Rs. 12.15 Cr, 31.9%). The near-equal split between Travel and Shopping is notable. Within sub-types, Jewellery is the largest single spending type, followed by Food and Air Ticket. This shows that customers use their credit cards for a wide range of purchases, not just daily necessities.</w:t>
      </w:r>
    </w:p>
    <w:p w14:paraId="00100108" w14:textId="00100109">
      <w:pPr>
        <w:pStyle w:val="Heading2"/>
        <w:spacing w:before="160" w:after="80"/>
      </w:pPr>
      <w:r>
        <w:rPr>
          <w:b/>
          <w:color w:val="2563A8"/>
          <w:sz w:val="26"/>
        </w:rPr>
        <w:t xml:space="preserve">9.4 Monthly Trend Analysis</w:t>
      </w:r>
    </w:p>
    <w:p w14:paraId="0010010A" w14:textId="0010010B">
      <w:pPr>
        <w:pStyle w:val="Normal"/>
        <w:spacing w:after="160"/>
      </w:pPr>
      <w:r>
        <w:rPr>
          <w:sz w:val="22"/>
        </w:rPr>
        <w:t xml:space="preserve">Over the 30-month analysis period, January 2004 shows the highest monthly spending at Rs. 75.20 Lakhs, with a net outstanding of Rs. 74.38 Lakhs in that month alone. March 2006 is the second-highest at Rs. 52.14 Lakhs. Some months show repayment exceeding spending: May 2006 (surplus of Rs. 78.03 Lakhs), suggesting that customers made advance or catch-up repayments in that month. Overall, repayment closely tracks spending across all months, maintaining the 97.34% portfolio coverage rate.</w:t>
      </w:r>
    </w:p>
    <w:p w14:paraId="0010010C" w14:textId="0010010D">
      <w:pPr>
        <w:pStyle w:val="Heading2"/>
        <w:spacing w:before="160" w:after="80"/>
      </w:pPr>
      <w:r>
        <w:rPr>
          <w:b/>
          <w:color w:val="2563A8"/>
          <w:sz w:val="26"/>
        </w:rPr>
        <w:t xml:space="preserve">9.5 Customer-Level Outstanding Analysis</w:t>
      </w:r>
    </w:p>
    <w:p w14:paraId="0010010E" w14:textId="0010010F">
      <w:pPr>
        <w:pStyle w:val="Normal"/>
        <w:spacing w:after="240"/>
      </w:pPr>
      <w:r>
        <w:rPr>
          <w:sz w:val="22"/>
        </w:rPr>
        <w:t xml:space="preserve">Customer A23 and Customer A42 carry the highest outstanding amounts at Rs. 23.61 Lakhs and Rs. 23.60 Lakhs respectively. Both have repayment coverage below 73%, which is significantly below the portfolio average of 97.3%. The top 10 outstanding customers collectively owe Rs. 1.49 Crore, which represents 44.6% of the total at-risk outstanding (Rs. 3.34 Cr). This concentration of risk in a small number of customers is a key finding that requires targeted action.</w:t>
      </w:r>
    </w:p>
    <w:p w14:paraId="00100110" w14:textId="00100111">
      <w:pPr>
        <w:pStyle w:val="Heading1"/>
        <w:spacing w:before="240" w:after="160"/>
      </w:pPr>
      <w:r>
        <w:rPr>
          <w:b/>
          <w:color w:val="1A3A5C"/>
          <w:sz w:val="32"/>
        </w:rPr>
        <w:t xml:space="preserve">10. Key Findings</w:t>
      </w:r>
    </w:p>
    <w:p w14:paraId="00100112" w14:textId="00100113">
      <w:pPr>
        <w:pStyle w:val="Normal"/>
        <w:spacing w:after="120"/>
      </w:pPr>
      <w:r>
        <w:rPr>
          <w:sz w:val="22"/>
        </w:rPr>
        <w:t xml:space="preserve">The following findings are drawn directly from the analysis of the three datasets:</w:t>
      </w:r>
    </w:p>
    <w:p w14:paraId="00100114" w14:textId="00100115">
      <w:pPr>
        <w:pStyle w:val="Normal"/>
        <w:numPr>
          <w:ilvl w:val="0"/>
          <w:numId w:val="5"/>
        </w:numPr>
        <w:spacing w:after="80"/>
      </w:pPr>
      <w:r>
        <w:rPr>
          <w:sz w:val="22"/>
        </w:rPr>
        <w:t xml:space="preserve">Finding 1: High overall repayment coverage. The portfolio maintains a 97.34% repayment coverage rate. This means that for every Rs. 100 spent, Rs. 97.34 is being repaid on average. This is a healthy portfolio-level metric.</w:t>
      </w:r>
    </w:p>
    <w:p w14:paraId="00100116" w14:textId="00100117">
      <w:pPr>
        <w:pStyle w:val="Normal"/>
        <w:numPr>
          <w:ilvl w:val="0"/>
          <w:numId w:val="5"/>
        </w:numPr>
        <w:spacing w:after="80"/>
      </w:pPr>
      <w:r>
        <w:rPr>
          <w:sz w:val="22"/>
        </w:rPr>
        <w:t xml:space="preserve">Finding 2: Concentrated risk. 55% of customers (55 out of 100) carry outstanding balances. The top 10 outstanding customers collectively owe Rs. 1.49 Crore, which is 44.6% of all outstanding debt. Risk is concentrated in a small group.</w:t>
      </w:r>
    </w:p>
    <w:p w14:paraId="00100118" w14:textId="00100119">
      <w:pPr>
        <w:pStyle w:val="Normal"/>
        <w:numPr>
          <w:ilvl w:val="0"/>
          <w:numId w:val="5"/>
        </w:numPr>
        <w:spacing w:after="80"/>
      </w:pPr>
      <w:r>
        <w:rPr>
          <w:sz w:val="22"/>
        </w:rPr>
        <w:t xml:space="preserve">Finding 3: Normal Salary segment needs attention. Despite being the highest-spending segment, Normal Salary customers have the lowest repayment coverage (95.4%). This segment represents the highest repayment risk.</w:t>
      </w:r>
    </w:p>
    <w:p w14:paraId="0010011A" w14:textId="0010011B">
      <w:pPr>
        <w:pStyle w:val="Normal"/>
        <w:numPr>
          <w:ilvl w:val="0"/>
          <w:numId w:val="5"/>
        </w:numPr>
        <w:spacing w:after="80"/>
      </w:pPr>
      <w:r>
        <w:rPr>
          <w:sz w:val="22"/>
        </w:rPr>
        <w:t xml:space="preserve">Finding 4: Middle-aged customers dominate spending. Group B (37–54 years) accounts for 45 customers and Rs. 17.65 Cr in spending (46.3% of total). This is the bank's most valuable customer segment.</w:t>
      </w:r>
    </w:p>
    <w:p w14:paraId="0010011C" w14:textId="0010011D">
      <w:pPr>
        <w:pStyle w:val="Normal"/>
        <w:numPr>
          <w:ilvl w:val="0"/>
          <w:numId w:val="5"/>
        </w:numPr>
        <w:spacing w:after="80"/>
      </w:pPr>
      <w:r>
        <w:rPr>
          <w:sz w:val="22"/>
        </w:rPr>
        <w:t xml:space="preserve">Finding 5: Needs is the top spending category. At Rs. 13.50 Cr (35.4%), daily essentials (Food, Petrol, Clothes, Rental) are the primary driver of credit card usage. Travel and Shopping are nearly equal at approximately 32% each.</w:t>
      </w:r>
    </w:p>
    <w:p w14:paraId="0010011E" w14:textId="0010011F">
      <w:pPr>
        <w:pStyle w:val="Normal"/>
        <w:numPr>
          <w:ilvl w:val="0"/>
          <w:numId w:val="5"/>
        </w:numPr>
        <w:spacing w:after="80"/>
      </w:pPr>
      <w:r>
        <w:rPr>
          <w:sz w:val="22"/>
        </w:rPr>
        <w:t xml:space="preserve">Finding 6: Seasonal spending spikes. January 2004 and March 2006 show spending spikes significantly above the monthly average. Some months (May 2006, August 2005, September 2004) show repayment exceeding spending, indicating customers made extra payments in those months.</w:t>
      </w:r>
    </w:p>
    <w:p w14:paraId="00100120" w14:textId="00100121">
      <w:pPr>
        <w:pStyle w:val="Normal"/>
        <w:numPr>
          <w:ilvl w:val="0"/>
          <w:numId w:val="5"/>
        </w:numPr>
        <w:spacing w:after="240"/>
      </w:pPr>
      <w:r>
        <w:rPr>
          <w:sz w:val="22"/>
        </w:rPr>
        <w:t xml:space="preserve">Finding 7: High-value older customers. Group D (73–90 years) has only 7 customers but spends Rs. 4.29 Cr, an average of Rs. 61.35 Lakhs per customer. These customers have high credit utilisation and require appropriate credit limit management.</w:t>
      </w:r>
    </w:p>
    <w:p w14:paraId="00100122" w14:textId="00100123">
      <w:pPr>
        <w:pStyle w:val="Heading1"/>
        <w:spacing w:before="240" w:after="160"/>
      </w:pPr>
      <w:r>
        <w:rPr>
          <w:b/>
          <w:color w:val="1A3A5C"/>
          <w:sz w:val="32"/>
        </w:rPr>
        <w:t xml:space="preserve">11. Business Insights and Actions</w:t>
      </w:r>
    </w:p>
    <w:p w14:paraId="00100124" w14:textId="00100125">
      <w:pPr>
        <w:pStyle w:val="Normal"/>
        <w:spacing w:after="160"/>
      </w:pPr>
      <w:r>
        <w:rPr>
          <w:sz w:val="22"/>
        </w:rPr>
        <w:t xml:space="preserve">This section shows how the analysis moves from Data to Information to Insights to Decisions to Actions, as required by the internship framework.</w:t>
      </w:r>
    </w:p>
    <w:p w14:paraId="00100126" w14:textId="00100127">
      <w:pPr>
        <w:pStyle w:val="Normal"/>
        <w:numPr>
          <w:ilvl w:val="0"/>
          <w:numId w:val="6"/>
        </w:numPr>
        <w:spacing w:after="80"/>
      </w:pPr>
      <w:r>
        <w:rPr>
          <w:sz w:val="22"/>
        </w:rPr>
        <w:t xml:space="preserve">Data: Three CSV files containing customer demographics, 1,500 spending transactions, and 1,523 repayment records.</w:t>
      </w:r>
    </w:p>
    <w:p w14:paraId="00100128" w14:textId="00100129">
      <w:pPr>
        <w:pStyle w:val="Normal"/>
        <w:numPr>
          <w:ilvl w:val="0"/>
          <w:numId w:val="6"/>
        </w:numPr>
        <w:spacing w:after="80"/>
      </w:pPr>
      <w:r>
        <w:rPr>
          <w:sz w:val="22"/>
        </w:rPr>
        <w:t xml:space="preserve">Information: Aggregated customer-level totals, outstanding amounts, coverage percentages, segment totals, age group totals, category totals, and monthly trends.</w:t>
      </w:r>
    </w:p>
    <w:p w14:paraId="0010012A" w14:textId="0010012B">
      <w:pPr>
        <w:pStyle w:val="Normal"/>
        <w:numPr>
          <w:ilvl w:val="0"/>
          <w:numId w:val="6"/>
        </w:numPr>
        <w:spacing w:after="80"/>
      </w:pPr>
      <w:r>
        <w:rPr>
          <w:sz w:val="22"/>
        </w:rPr>
        <w:t xml:space="preserve">Insights: 55% of customers have outstanding balances. Top 10 customers owe 44.6% of all outstanding debt. Normal Salary segment has the weakest repayment discipline. Group B (37–54) is the most valuable customer group.</w:t>
      </w:r>
    </w:p>
    <w:p w14:paraId="0010012C" w14:textId="0010012D">
      <w:pPr>
        <w:pStyle w:val="Normal"/>
        <w:numPr>
          <w:ilvl w:val="0"/>
          <w:numId w:val="6"/>
        </w:numPr>
        <w:spacing w:after="80"/>
      </w:pPr>
      <w:r>
        <w:rPr>
          <w:sz w:val="22"/>
        </w:rPr>
        <w:t xml:space="preserve">Decisions: Prioritise collections for high-outstanding customers. Design targeted repayment campaigns for Normal Salary segment. Offer rewards and loyalty benefits to Group B customers to retain them.</w:t>
      </w:r>
    </w:p>
    <w:p w14:paraId="0010012E" w14:textId="0010012F">
      <w:pPr>
        <w:pStyle w:val="Normal"/>
        <w:spacing w:after="80"/>
      </w:pPr>
      <w:r>
        <w:rPr>
          <w:b/>
          <w:sz w:val="22"/>
        </w:rPr>
        <w:t xml:space="preserve">Actions:</w:t>
      </w:r>
    </w:p>
    <w:p w14:paraId="00100130" w14:textId="00100131">
      <w:pPr>
        <w:pStyle w:val="Normal"/>
        <w:numPr>
          <w:ilvl w:val="0"/>
          <w:numId w:val="7"/>
        </w:numPr>
        <w:spacing w:after="80"/>
      </w:pPr>
      <w:r>
        <w:rPr>
          <w:sz w:val="22"/>
        </w:rPr>
        <w:t xml:space="preserve">Action 1 — Immediate collections: Contact customers A23 and A42 immediately. Each carries approximately Rs. 23.6 Lakhs outstanding with coverage below 73%. Offer structured EMI plans to recover the outstanding amount over 6–12 months.</w:t>
      </w:r>
    </w:p>
    <w:p w14:paraId="00100132" w14:textId="00100133">
      <w:pPr>
        <w:pStyle w:val="Normal"/>
        <w:numPr>
          <w:ilvl w:val="0"/>
          <w:numId w:val="7"/>
        </w:numPr>
        <w:spacing w:after="80"/>
      </w:pPr>
      <w:r>
        <w:rPr>
          <w:sz w:val="22"/>
        </w:rPr>
        <w:t xml:space="preserve">Action 2 — Segment-based repayment campaigns: Design a targeted repayment reminder programme for the Normal Salary segment. Since these customers have the highest spending but lowest coverage, automated SMS and email reminders before due dates could improve their coverage from 95.4% to the portfolio average.</w:t>
      </w:r>
    </w:p>
    <w:p w14:paraId="00100134" w14:textId="00100135">
      <w:pPr>
        <w:pStyle w:val="Normal"/>
        <w:numPr>
          <w:ilvl w:val="0"/>
          <w:numId w:val="7"/>
        </w:numPr>
        <w:spacing w:after="80"/>
      </w:pPr>
      <w:r>
        <w:rPr>
          <w:sz w:val="22"/>
        </w:rPr>
        <w:t xml:space="preserve">Action 3 — Reward programme for Group B: Since customers aged 37–54 contribute 46.3% of spending, a cashback or reward points programme for this group would increase retention and encourage higher spending with maintained repayment discipline.</w:t>
      </w:r>
    </w:p>
    <w:p w14:paraId="00100136" w14:textId="00100137">
      <w:pPr>
        <w:pStyle w:val="Normal"/>
        <w:numPr>
          <w:ilvl w:val="0"/>
          <w:numId w:val="7"/>
        </w:numPr>
        <w:spacing w:after="80"/>
      </w:pPr>
      <w:r>
        <w:rPr>
          <w:sz w:val="22"/>
        </w:rPr>
        <w:t xml:space="preserve">Action 4 — Credit limit review for Group D: Older customers (73–90) show very high average spending (Rs. 61.35 L per customer). Credit limits should be reviewed regularly for this group to ensure limits match repayment capacity.</w:t>
      </w:r>
    </w:p>
    <w:p w14:paraId="00100138" w14:textId="00100139">
      <w:pPr>
        <w:pStyle w:val="Normal"/>
        <w:numPr>
          <w:ilvl w:val="0"/>
          <w:numId w:val="7"/>
        </w:numPr>
        <w:spacing w:after="240"/>
      </w:pPr>
      <w:r>
        <w:rPr>
          <w:sz w:val="22"/>
        </w:rPr>
        <w:t xml:space="preserve">Action 5 — Monthly monitoring dashboard: The Customer Monitoring view of the dashboard provides an up-to-date ranking of outstanding customers. This should be reviewed monthly by the collections team to catch at-risk customers before their outstanding grows further.</w:t>
      </w:r>
    </w:p>
    <w:p w14:paraId="0010013A" w14:textId="0010013B">
      <w:pPr>
        <w:pStyle w:val="Heading1"/>
        <w:spacing w:before="240" w:after="160"/>
      </w:pPr>
      <w:r>
        <w:rPr>
          <w:b/>
          <w:color w:val="1A3A5C"/>
          <w:sz w:val="32"/>
        </w:rPr>
        <w:t xml:space="preserve">12. Risks and Limitations</w:t>
      </w:r>
    </w:p>
    <w:p w14:paraId="0010013C" w14:textId="0010013D">
      <w:pPr>
        <w:pStyle w:val="Normal"/>
        <w:spacing w:after="120"/>
      </w:pPr>
      <w:r>
        <w:rPr>
          <w:sz w:val="22"/>
        </w:rPr>
        <w:t xml:space="preserve">The project has the following limitations:</w:t>
      </w:r>
    </w:p>
    <w:p w14:paraId="0010013E" w14:textId="0010013F">
      <w:pPr>
        <w:pStyle w:val="Normal"/>
        <w:numPr>
          <w:ilvl w:val="0"/>
          <w:numId w:val="8"/>
        </w:numPr>
        <w:spacing w:after="80"/>
      </w:pPr>
      <w:r>
        <w:rPr>
          <w:sz w:val="22"/>
        </w:rPr>
        <w:t xml:space="preserve">Data period: The dataset covers only 2004–2006. Customer behaviour and spending patterns may have changed significantly since then. The findings should be interpreted in the context of this historical dataset, not as a reflection of current banking conditions.</w:t>
      </w:r>
    </w:p>
    <w:p w14:paraId="00100140" w14:textId="00100141">
      <w:pPr>
        <w:pStyle w:val="Normal"/>
        <w:numPr>
          <w:ilvl w:val="0"/>
          <w:numId w:val="8"/>
        </w:numPr>
        <w:spacing w:after="80"/>
      </w:pPr>
      <w:r>
        <w:rPr>
          <w:sz w:val="22"/>
        </w:rPr>
        <w:t xml:space="preserve">Missing months: The spending data has gaps (e.g., June–August 2004 are missing, and some months are absent from the data). This affects the monthly trend analysis. The analysis reflects only the months that have data.</w:t>
      </w:r>
    </w:p>
    <w:p w14:paraId="00100142" w14:textId="00100143">
      <w:pPr>
        <w:pStyle w:val="Normal"/>
        <w:numPr>
          <w:ilvl w:val="0"/>
          <w:numId w:val="8"/>
        </w:numPr>
        <w:spacing w:after="80"/>
      </w:pPr>
      <w:r>
        <w:rPr>
          <w:sz w:val="22"/>
        </w:rPr>
        <w:t xml:space="preserve">No predictive modelling: The project does not include machine learning or forecasting. All analysis is descriptive. Future spending or repayment amounts cannot be predicted from this analysis.</w:t>
      </w:r>
    </w:p>
    <w:p w14:paraId="00100144" w14:textId="00100145">
      <w:pPr>
        <w:pStyle w:val="Normal"/>
        <w:numPr>
          <w:ilvl w:val="0"/>
          <w:numId w:val="8"/>
        </w:numPr>
        <w:spacing w:after="80"/>
      </w:pPr>
      <w:r>
        <w:rPr>
          <w:sz w:val="22"/>
        </w:rPr>
        <w:t xml:space="preserve">Age data quality: 22 out of 100 customers had invalid age values. These were replaced with the mean age (49.29), which may affect age-group level analysis. The actual age distribution could be different.</w:t>
      </w:r>
    </w:p>
    <w:p w14:paraId="00100146" w14:textId="00100147">
      <w:pPr>
        <w:pStyle w:val="Normal"/>
        <w:numPr>
          <w:ilvl w:val="0"/>
          <w:numId w:val="8"/>
        </w:numPr>
        <w:spacing w:after="240"/>
      </w:pPr>
      <w:r>
        <w:rPr>
          <w:sz w:val="22"/>
        </w:rPr>
        <w:t xml:space="preserve">Surplus repayment interpretation: The code calculates surplus cases (repayment &gt; spending) and applies a 2% return on the surplus. This is a simplified banking assumption. In reality, over-payments may be credited to the account and not necessarily generate a return for the customer.</w:t>
      </w:r>
    </w:p>
    <w:p w14:paraId="00100148" w14:textId="00100149">
      <w:pPr>
        <w:pStyle w:val="Heading1"/>
        <w:spacing w:before="240" w:after="160"/>
      </w:pPr>
      <w:r>
        <w:rPr>
          <w:b/>
          <w:color w:val="1A3A5C"/>
          <w:sz w:val="32"/>
        </w:rPr>
        <w:t xml:space="preserve">13. Conclusion</w:t>
      </w:r>
    </w:p>
    <w:p w14:paraId="0010014A" w14:textId="0010014B">
      <w:pPr>
        <w:pStyle w:val="Normal"/>
        <w:spacing w:after="120"/>
      </w:pPr>
      <w:r>
        <w:rPr>
          <w:sz w:val="22"/>
        </w:rPr>
        <w:t xml:space="preserve">This project successfully demonstrates a complete data analytics pipeline applied to a real banking dataset. Starting from raw CSV files, the project cleans, processes, and analyses data to produce meaningful insights about customer spending and repayment behaviour.</w:t>
      </w:r>
    </w:p>
    <w:p w14:paraId="0010014C" w14:textId="0010014D">
      <w:pPr>
        <w:pStyle w:val="Normal"/>
        <w:spacing w:after="120"/>
      </w:pPr>
      <w:r>
        <w:rPr>
          <w:sz w:val="22"/>
        </w:rPr>
        <w:t xml:space="preserve">The key result is that while the overall portfolio coverage is healthy at 97.34%, there is concentrated risk in a small group of customers — the top 10 outstanding customers account for 44.6% of all at-risk debt. Targeted action on these customers, combined with segment-level repayment campaigns, could significantly improve the portfolio's health.</w:t>
      </w:r>
    </w:p>
    <w:p w14:paraId="0010014E" w14:textId="0010014F">
      <w:pPr>
        <w:pStyle w:val="Normal"/>
        <w:spacing w:after="120"/>
      </w:pPr>
      <w:r>
        <w:rPr>
          <w:sz w:val="22"/>
        </w:rPr>
        <w:t xml:space="preserve">The dashboard provides a practical tool for the bank's collections and analytics teams to monitor customer behaviour, identify at-risk customers, and track progress over time. The project demonstrates how Python-based data analysis, combined with a clear visualisation layer, can turn raw transaction data into actionable business intelligence.</w:t>
      </w:r>
    </w:p>
    <w:p w14:paraId="00100150" w14:textId="00100151">
      <w:pPr>
        <w:pStyle w:val="Normal"/>
        <w:spacing w:after="240"/>
      </w:pPr>
      <w:r>
        <w:rPr>
          <w:sz w:val="22"/>
        </w:rPr>
        <w:t xml:space="preserve">Through this internship project, I have gained hands-on experience in data loading and cleaning, customer-level aggregation, KPI calculation, segment analysis, visualisation, and dashboard building — all of which are core skills in the field of data analytics.</w:t>
      </w:r>
    </w:p>
    <w:p w14:paraId="00100152" w14:textId="00100153">
      <w:pPr>
        <w:pStyle w:val="Normal"/>
        <w:spacing w:after="80"/>
        <w:jc w:val="center"/>
      </w:pPr>
      <w:r>
        <w:rPr>
          <w:sz w:val="22"/>
        </w:rPr>
        <w:t xml:space="preserve">---</w:t>
      </w:r>
    </w:p>
    <w:p w14:paraId="00100154" w14:textId="00100155">
      <w:pPr>
        <w:pStyle w:val="Normal"/>
        <w:spacing w:after="80"/>
        <w:jc w:val="center"/>
      </w:pPr>
      <w:r>
        <w:rPr>
          <w:color w:val="888888"/>
          <w:sz w:val="20"/>
        </w:rPr>
        <w:t xml:space="preserve">AICTE | IBM SkillsBuild Data Analytics with AI Internship 2026 | BharatCares</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acad09e95164483e" /><Relationship Type="http://schemas.openxmlformats.org/officeDocument/2006/relationships/styles" Target="/word/styles.xml" Id="R30645403a05847b7" /><Relationship Type="http://schemas.openxmlformats.org/officeDocument/2006/relationships/theme" Target="/word/theme/theme1.xml" Id="Rf35ef4c25d624b1a" /><Relationship Type="http://schemas.openxmlformats.org/officeDocument/2006/relationships/numbering" Target="/word/numbering.xml" Id="R82f78882999145ff" /><Relationship Type="http://schemas.openxmlformats.org/officeDocument/2006/relationships/image" Target="/media/image.png" Id="R5faf259c632d41ce" /><Relationship Type="http://schemas.openxmlformats.org/officeDocument/2006/relationships/image" Target="/media/image2.png" Id="Re86003efca044b9c" /><Relationship Type="http://schemas.openxmlformats.org/officeDocument/2006/relationships/image" Target="/media/image3.png" Id="Ra0aecd39adbe461d" /><Relationship Type="http://schemas.openxmlformats.org/officeDocument/2006/relationships/image" Target="/media/image4.png" Id="Rbdeb219ae44d4158" /><Relationship Type="http://schemas.openxmlformats.org/officeDocument/2006/relationships/image" Target="/media/image5.png" Id="R727b2a5b1a9c4df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2026-09-24T17:02:33Z</dcterms:created>
  <cp:lastModifiedBy>OfficeCLI</cp:lastModifiedBy>
  <dcterms:modified xsi:type="dcterms:W3CDTF">2026-09-24T17:02:33Z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2026-09-24T17:08:43Z</vt:lpwstr>
  </op:property>
</op:Properties>
</file>