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2328"/>
          <w:sz w:val="26"/>
        </w:rPr>
        <w:t>INDIAN OIL CORPORATION LIMITED</w:t>
        <w:br/>
        <w:t>ASSET INTEGRITY &amp; NON-DESTRUCTIVE TESTING REPORT</w:t>
        <w:br/>
        <w:t>SUMMARY OF INSPECTION FINDINGS</w:t>
      </w:r>
    </w:p>
    <w:p>
      <w:pPr>
        <w:pStyle w:val="Heading1"/>
        <w:keepNext/>
        <w:spacing w:before="360" w:after="120"/>
        <w:jc w:val="left"/>
      </w:pPr>
      <w:r>
        <w:rPr>
          <w:rFonts w:ascii="Calibri" w:hAnsi="Calibri"/>
          <w:b/>
          <w:color w:val="1F2328"/>
          <w:sz w:val="28"/>
        </w:rPr>
        <w:t>1. ASSET IDENTIFICATION &amp; METADATA</w:t>
      </w:r>
    </w:p>
    <w:p>
      <w:r>
        <w:rPr>
          <w:b/>
        </w:rPr>
        <w:t>Asset Tag: {{ asset_tag }} | Date: {{ inspection_date }} | Method: {{ inspection_method }}</w:t>
      </w:r>
    </w:p>
    <w:p>
      <w:pPr>
        <w:pStyle w:val="Heading1"/>
        <w:keepNext/>
        <w:spacing w:before="360" w:after="120"/>
        <w:jc w:val="left"/>
      </w:pPr>
      <w:r>
        <w:rPr>
          <w:rFonts w:ascii="Calibri" w:hAnsi="Calibri"/>
          <w:b/>
          <w:color w:val="1F2328"/>
          <w:sz w:val="28"/>
        </w:rPr>
        <w:t>2. THICKNESS SURVEY READINGS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1F2328"/>
          </w:tcPr>
          <w:p>
            <w:r>
              <w:rPr>
                <w:b/>
                <w:color w:val="FFFFFF"/>
                <w:sz w:val="19"/>
              </w:rPr>
              <w:t>Location / Circuit</w:t>
            </w:r>
          </w:p>
        </w:tc>
        <w:tc>
          <w:tcPr>
            <w:tcW w:type="dxa" w:w="2268"/>
            <w:shd w:val="clear" w:fill="1F2328"/>
          </w:tcPr>
          <w:p>
            <w:r>
              <w:rPr>
                <w:b/>
                <w:color w:val="FFFFFF"/>
                <w:sz w:val="19"/>
              </w:rPr>
              <w:t>Nominal (mm)</w:t>
            </w:r>
          </w:p>
        </w:tc>
        <w:tc>
          <w:tcPr>
            <w:tcW w:type="dxa" w:w="2268"/>
            <w:shd w:val="clear" w:fill="1F2328"/>
          </w:tcPr>
          <w:p>
            <w:r>
              <w:rPr>
                <w:b/>
                <w:color w:val="FFFFFF"/>
                <w:sz w:val="19"/>
              </w:rPr>
              <w:t>Actual (mm)</w:t>
            </w:r>
          </w:p>
        </w:tc>
        <w:tc>
          <w:tcPr>
            <w:tcW w:type="dxa" w:w="2268"/>
            <w:shd w:val="clear" w:fill="1F2328"/>
          </w:tcPr>
          <w:p>
            <w:r>
              <w:rPr>
                <w:b/>
                <w:color w:val="FFFFFF"/>
                <w:sz w:val="19"/>
              </w:rPr>
              <w:t>Min Required (mm)</w:t>
            </w:r>
          </w:p>
        </w:tc>
      </w:tr>
      <w:tr>
        <w:tc>
          <w:tcPr>
            <w:tcW w:type="dxa" w:w="2268"/>
          </w:tcPr>
          <w:p>
            <w:r>
              <w:t>{%tr for t in thickness_readings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t>{{ t.location }}</w:t>
            </w:r>
          </w:p>
        </w:tc>
        <w:tc>
          <w:tcPr>
            <w:tcW w:type="dxa" w:w="2268"/>
          </w:tcPr>
          <w:p>
            <w:r>
              <w:t>{{ '%.2f'|format(t.nominal_mm) }}</w:t>
            </w:r>
          </w:p>
        </w:tc>
        <w:tc>
          <w:tcPr>
            <w:tcW w:type="dxa" w:w="2268"/>
          </w:tcPr>
          <w:p>
            <w:r>
              <w:t>{{ '%.2f'|format(t.actual_mm) }}</w:t>
            </w:r>
          </w:p>
        </w:tc>
        <w:tc>
          <w:tcPr>
            <w:tcW w:type="dxa" w:w="2268"/>
          </w:tcPr>
          <w:p>
            <w:r>
              <w:t>{{ '%.2f'|format(t.min_required_mm) }}</w:t>
            </w:r>
          </w:p>
        </w:tc>
      </w:tr>
      <w:tr>
        <w:tc>
          <w:tcPr>
            <w:tcW w:type="dxa" w:w="2268"/>
          </w:tcPr>
          <w:p>
            <w:r>
              <w:t>{%tr endfor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>
      <w:pPr>
        <w:pStyle w:val="Heading1"/>
        <w:keepNext/>
        <w:spacing w:before="360" w:after="120"/>
        <w:jc w:val="left"/>
      </w:pPr>
      <w:r>
        <w:rPr>
          <w:rFonts w:ascii="Calibri" w:hAnsi="Calibri"/>
          <w:b/>
          <w:color w:val="1F2328"/>
          <w:sz w:val="28"/>
        </w:rPr>
        <w:t>3. OBSERVED DEFECTS &amp; FINDINGS</w:t>
      </w:r>
    </w:p>
    <w:p>
      <w:r>
        <w:t>{% for d in observed_defects %}• [{{ d.severity }}] {{ d.description }}</w:t>
        <w:br/>
        <w:t>{% endfor %}</w:t>
      </w:r>
    </w:p>
    <w:p>
      <w:pPr>
        <w:pStyle w:val="Heading1"/>
        <w:keepNext/>
        <w:spacing w:before="360" w:after="120"/>
        <w:jc w:val="left"/>
      </w:pPr>
      <w:r>
        <w:rPr>
          <w:rFonts w:ascii="Calibri" w:hAnsi="Calibri"/>
          <w:b/>
          <w:color w:val="1F2328"/>
          <w:sz w:val="28"/>
        </w:rPr>
        <w:t>4. ENGINEERING RECOMMENDATIONS</w:t>
      </w:r>
    </w:p>
    <w:p>
      <w:r>
        <w:t>{% for r in recommendations %}• {{ r.text if r.text is defined else r }}</w:t>
        <w:br/>
        <w:t>{% endfor %}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701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BM Plex Mono" w:hAnsi="IBM Plex Mono"/>
        <w:color w:val="57606A"/>
        <w:sz w:val="15"/>
      </w:rPr>
      <w:t>Run ID: {{ provenance.run_id }} | Models: {{ provenance.models_used | join(', ') 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IBM Plex Mono" w:hAnsi="IBM Plex Mono"/>
        <w:color w:val="57606A"/>
        <w:sz w:val="17"/>
      </w:rPr>
      <w:t>CONFIDENTIAL — FOR INTERNAL USE ONLY</w:t>
      <w:br/>
    </w:r>
    <w:r>
      <w:rPr>
        <w:rFonts w:ascii="IBM Plex Mono" w:hAnsi="IBM Plex Mono"/>
        <w:b/>
        <w:color w:val="F59E0B"/>
        <w:sz w:val="18"/>
      </w:rPr>
      <w:t>DRAFT — REQUIRES APPROVAL BY COMPETENT AUTHORITY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F23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