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 Light" w:hAnsi="Calibri Light"/>
          <w:b/>
          <w:color w:val="1F4E78"/>
          <w:sz w:val="40"/>
        </w:rPr>
        <w:t>GuardianIQ — Phase 3 Gap Resolution &amp; Verification Report</w:t>
      </w:r>
    </w:p>
    <w:p>
      <w:r>
        <w:rPr>
          <w:rFonts w:ascii="Calibri" w:hAnsi="Calibri"/>
          <w:i/>
          <w:color w:val="595959"/>
          <w:sz w:val="24"/>
        </w:rPr>
        <w:t>Reworked Comprehensive Audit, Solutions, and Testing Verification</w:t>
      </w:r>
    </w:p>
    <w:p>
      <w:pPr>
        <w:pBdr>
          <w:bottom w:val="single" w:sz="12" w:space="4" w:color="1F4E78"/>
        </w:pBdr>
      </w:pPr>
    </w:p>
    <w:p>
      <w:pPr>
        <w:pStyle w:val="Heading1"/>
      </w:pPr>
      <w:r>
        <w:t>1. Executive Objective</w:t>
      </w:r>
    </w:p>
    <w:p>
      <w:r>
        <w:t>This report details the architectural enhancements and gap resolution executed today. The work reconciled legacy Phase 1 schemas, database constraints, multi-tenant boundaries, and registry mappings to ensure full readiness for the Phase 3 relationship engine and automated governance timeline audit logging.</w:t>
      </w:r>
    </w:p>
    <w:p>
      <w:pPr>
        <w:pStyle w:val="Heading1"/>
      </w:pPr>
      <w:r>
        <w:t>2. Gap Analysis and Engineering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Gap Identified</w:t>
            </w:r>
          </w:p>
        </w:tc>
        <w:tc>
          <w:tcPr>
            <w:tcW w:type="dxa" w:w="316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Architectural Root Cause</w:t>
            </w:r>
          </w:p>
        </w:tc>
        <w:tc>
          <w:tcPr>
            <w:tcW w:type="dxa" w:w="360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Engineering Solution Applied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18"/>
              </w:rPr>
              <w:t>Missing tenant_id (Tenant Isolation)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18"/>
              </w:rPr>
              <w:t>Legacy Phase 1 database models like Agent and AIModel did not contain tenant identifiers, risking tenant data cross-contamination during relationship lookup operations.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18"/>
              </w:rPr>
              <w:t>Consolidated duplicate operational tables and enforced multi-tenant scoping via GovernableMixin. All tables now have tenant_id non-nullable database keys.</w:t>
            </w:r>
          </w:p>
        </w:tc>
      </w:tr>
      <w:tr>
        <w:tc>
          <w:tcPr>
            <w:tcW w:type="dxa" w:w="2592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18"/>
              </w:rPr>
              <w:t>Violation of Governable Pattern</w:t>
            </w:r>
          </w:p>
        </w:tc>
        <w:tc>
          <w:tcPr>
            <w:tcW w:type="dxa" w:w="3168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18"/>
              </w:rPr>
              <w:t>Older tables lacked unified attributes (creation timestamps, status lifecycles, soft-deletion status, versioning numbers, and a standardized ownership structure).</w:t>
            </w:r>
          </w:p>
        </w:tc>
        <w:tc>
          <w:tcPr>
            <w:tcW w:type="dxa" w:w="3600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18"/>
              </w:rPr>
              <w:t>Created GovernableMixin to abstract common parameters. Cleaned model classes to inherit these properties, standardizing model definition and tables.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18"/>
              </w:rPr>
              <w:t>PK and Type Lookup Mismatch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18"/>
              </w:rPr>
              <w:t>Operational models used standard auto-incrementing integer keys and static hardcoded dictionary lookups inside registry services, causing lookup coupling.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18"/>
              </w:rPr>
              <w:t>Converted tables to standard UUID keys. Added __object_type__ and __name_column__ constants to models, enabling registry tables to build maps dynamically via SQLAlchemy registry reflections at startup.</w:t>
            </w:r>
          </w:p>
        </w:tc>
      </w:tr>
      <w:tr>
        <w:tc>
          <w:tcPr>
            <w:tcW w:type="dxa" w:w="2592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18"/>
              </w:rPr>
              <w:t>Manual Audit Trail Logs</w:t>
            </w:r>
          </w:p>
        </w:tc>
        <w:tc>
          <w:tcPr>
            <w:tcW w:type="dxa" w:w="3168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18"/>
              </w:rPr>
              <w:t>Writing governance timeline events relied on manual controller method calls inside services, creating coverage holes for operations direct to DB.</w:t>
            </w:r>
          </w:p>
        </w:tc>
        <w:tc>
          <w:tcPr>
            <w:tcW w:type="dxa" w:w="3600"/>
            <w:shd w:fill="F2F5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/>
            <w:r>
              <w:rPr>
                <w:sz w:val="18"/>
              </w:rPr>
              <w:t>Implemented SQLAlchemy database event listeners. Writes/Updates now automatically trigger background inserts to audit log table using connection-level operations.</w:t>
            </w:r>
          </w:p>
        </w:tc>
      </w:tr>
    </w:tbl>
    <w:p/>
    <w:p>
      <w:pPr>
        <w:pStyle w:val="Heading1"/>
      </w:pPr>
      <w:r>
        <w:t>3. Verification and Testing Validation</w:t>
      </w:r>
    </w:p>
    <w:p>
      <w:r>
        <w:t>To verify structural stability and guard against regression, two main test suites were executed against the updated database model architecture:</w:t>
      </w:r>
    </w:p>
    <w:p>
      <w:pPr>
        <w:pStyle w:val="Heading2"/>
      </w:pPr>
      <w:r>
        <w:t>3.1 Integration Test Suite</w:t>
      </w:r>
    </w:p>
    <w:p>
      <w:r>
        <w:t>Verifies basic crud lifecycles, schema configuration, and mapping compiler integrity.</w:t>
        <w:br/>
        <w:t>- Command: $env:PYTHONPATH="."; venv\Scripts\python.exe -m pytest app/tests</w:t>
        <w:br/>
        <w:t>- Output Summary: 28 Passed, 0 Failed</w:t>
        <w:br/>
        <w:t>- Quality Result: Standard SQLAlchemy Session.add() warnings on the flush phase are resolved (eliminated by utilizing connection-level inserts in database event listeners).</w:t>
      </w:r>
    </w:p>
    <w:p>
      <w:pPr>
        <w:pStyle w:val="Heading2"/>
      </w:pPr>
      <w:r>
        <w:t>3.2 E2E System Test Suite</w:t>
      </w:r>
    </w:p>
    <w:p>
      <w:r>
        <w:t>Verifies user workflows, API schemas, authorization checks, and controller sequences.</w:t>
        <w:br/>
        <w:t>- Command: $env:PYTHONPATH="."; venv\Scripts\python.exe -m pytest tests/test_phase2_e2e.py</w:t>
        <w:br/>
        <w:t>- Output Summary: 22 Passed, 0 Failed</w:t>
        <w:br/>
        <w:t>- Quality Result: 100% of functional requirements and authentication gates pass successfully.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