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F172A"/>
          <w:sz w:val="44"/>
        </w:rPr>
        <w:t>Executive Briefing: GuardianIQ Workspace Shell Pages Audit</w:t>
      </w:r>
    </w:p>
    <w:p>
      <w:pPr>
        <w:spacing w:after="360"/>
      </w:pPr>
      <w:r>
        <w:rPr>
          <w:rFonts w:ascii="Arial" w:hAnsi="Arial"/>
          <w:color w:val="475569"/>
          <w:sz w:val="26"/>
        </w:rPr>
        <w:t>Analysis of Static Placeholders, Phase 3/4 Scope Compliance &amp; Phase 5 Roadmap Recommendations</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pPr>
              <w:spacing w:after="0"/>
            </w:pPr>
            <w:r>
              <w:rPr>
                <w:b/>
                <w:color w:val="1E293B"/>
                <w:sz w:val="20"/>
              </w:rPr>
              <w:t>Target Audience:</w:t>
            </w:r>
          </w:p>
        </w:tc>
        <w:tc>
          <w:tcPr>
            <w:tcW w:type="dxa" w:w="6480"/>
            <w:shd w:fill="F8FAFC"/>
            <w:tcMar>
              <w:top w:w="60" w:type="dxa"/>
              <w:bottom w:w="60" w:type="dxa"/>
              <w:left w:w="100" w:type="dxa"/>
              <w:right w:w="100" w:type="dxa"/>
            </w:tcMar>
          </w:tcPr>
          <w:p>
            <w:pPr>
              <w:spacing w:after="0"/>
            </w:pPr>
            <w:r>
              <w:rPr>
                <w:color w:val="334155"/>
                <w:sz w:val="20"/>
              </w:rPr>
              <w:t>Product Management (PM) &amp; Engineering Leadership</w:t>
            </w:r>
          </w:p>
        </w:tc>
      </w:tr>
      <w:tr>
        <w:tc>
          <w:tcPr>
            <w:tcW w:type="dxa" w:w="2880"/>
            <w:shd w:fill="F8FAFC"/>
            <w:tcMar>
              <w:top w:w="60" w:type="dxa"/>
              <w:bottom w:w="60" w:type="dxa"/>
              <w:left w:w="100" w:type="dxa"/>
              <w:right w:w="100" w:type="dxa"/>
            </w:tcMar>
          </w:tcPr>
          <w:p>
            <w:pPr>
              <w:spacing w:after="0"/>
            </w:pPr>
            <w:r>
              <w:rPr>
                <w:b/>
                <w:color w:val="1E293B"/>
                <w:sz w:val="20"/>
              </w:rPr>
              <w:t>Prepared For:</w:t>
            </w:r>
          </w:p>
        </w:tc>
        <w:tc>
          <w:tcPr>
            <w:tcW w:type="dxa" w:w="6480"/>
            <w:shd w:fill="F8FAFC"/>
            <w:tcMar>
              <w:top w:w="60" w:type="dxa"/>
              <w:bottom w:w="60" w:type="dxa"/>
              <w:left w:w="100" w:type="dxa"/>
              <w:right w:w="100" w:type="dxa"/>
            </w:tcMar>
          </w:tcPr>
          <w:p>
            <w:pPr>
              <w:spacing w:after="0"/>
            </w:pPr>
            <w:r>
              <w:rPr>
                <w:color w:val="334155"/>
                <w:sz w:val="20"/>
              </w:rPr>
              <w:t>Product Manager Assistance &amp; Roadmap Alignment</w:t>
            </w:r>
          </w:p>
        </w:tc>
      </w:tr>
      <w:tr>
        <w:tc>
          <w:tcPr>
            <w:tcW w:type="dxa" w:w="2880"/>
            <w:shd w:fill="F8FAFC"/>
            <w:tcMar>
              <w:top w:w="60" w:type="dxa"/>
              <w:bottom w:w="60" w:type="dxa"/>
              <w:left w:w="100" w:type="dxa"/>
              <w:right w:w="100" w:type="dxa"/>
            </w:tcMar>
          </w:tcPr>
          <w:p>
            <w:pPr>
              <w:spacing w:after="0"/>
            </w:pPr>
            <w:r>
              <w:rPr>
                <w:b/>
                <w:color w:val="1E293B"/>
                <w:sz w:val="20"/>
              </w:rPr>
              <w:t>System / Repository:</w:t>
            </w:r>
          </w:p>
        </w:tc>
        <w:tc>
          <w:tcPr>
            <w:tcW w:type="dxa" w:w="6480"/>
            <w:shd w:fill="F8FAFC"/>
            <w:tcMar>
              <w:top w:w="60" w:type="dxa"/>
              <w:bottom w:w="60" w:type="dxa"/>
              <w:left w:w="100" w:type="dxa"/>
              <w:right w:w="100" w:type="dxa"/>
            </w:tcMar>
          </w:tcPr>
          <w:p>
            <w:pPr>
              <w:spacing w:after="0"/>
            </w:pPr>
            <w:r>
              <w:rPr>
                <w:color w:val="334155"/>
                <w:sz w:val="20"/>
              </w:rPr>
              <w:t>GuardianIQ Platform (Phases 3 &amp; 4 Audit)</w:t>
            </w:r>
          </w:p>
        </w:tc>
      </w:tr>
      <w:tr>
        <w:tc>
          <w:tcPr>
            <w:tcW w:type="dxa" w:w="2880"/>
            <w:shd w:fill="F8FAFC"/>
            <w:tcMar>
              <w:top w:w="60" w:type="dxa"/>
              <w:bottom w:w="60" w:type="dxa"/>
              <w:left w:w="100" w:type="dxa"/>
              <w:right w:w="100" w:type="dxa"/>
            </w:tcMar>
          </w:tcPr>
          <w:p>
            <w:pPr>
              <w:spacing w:after="0"/>
            </w:pPr>
            <w:r>
              <w:rPr>
                <w:b/>
                <w:color w:val="1E293B"/>
                <w:sz w:val="20"/>
              </w:rPr>
              <w:t>Date &amp; Status:</w:t>
            </w:r>
          </w:p>
        </w:tc>
        <w:tc>
          <w:tcPr>
            <w:tcW w:type="dxa" w:w="6480"/>
            <w:shd w:fill="F8FAFC"/>
            <w:tcMar>
              <w:top w:w="60" w:type="dxa"/>
              <w:bottom w:w="60" w:type="dxa"/>
              <w:left w:w="100" w:type="dxa"/>
              <w:right w:w="100" w:type="dxa"/>
            </w:tcMar>
          </w:tcPr>
          <w:p>
            <w:pPr>
              <w:spacing w:after="0"/>
            </w:pPr>
            <w:r>
              <w:rPr>
                <w:color w:val="334155"/>
                <w:sz w:val="20"/>
              </w:rPr>
              <w:t>August 2026 | Verified Complete (Zero Implementation Gaps)</w:t>
            </w:r>
          </w:p>
        </w:tc>
      </w:tr>
    </w:tbl>
    <w:p>
      <w:pPr>
        <w:spacing w:after="240"/>
      </w:pPr>
    </w:p>
    <w:p>
      <w:pPr>
        <w:pStyle w:val="Heading1"/>
        <w:spacing w:before="320" w:after="120"/>
      </w:pPr>
      <w:r>
        <w:rPr>
          <w:rFonts w:ascii="Arial" w:hAnsi="Arial"/>
          <w:b/>
          <w:color w:val="0F172A"/>
          <w:sz w:val="32"/>
        </w:rPr>
        <w:t>1. Executive Summary</w:t>
      </w:r>
    </w:p>
    <w:p>
      <w:pPr>
        <w:spacing w:after="160"/>
      </w:pPr>
      <w:r>
        <w:t>This briefing document provides a technical audit of the static placeholder pages in GuardianIQ: the Policies Dashboard (/policies), Risk Workspace (/risk), Approval Hub (/approvals), and Admin Panel (/admin/*). The purpose of this document is to clarify why these pages currently exist as static UI shells, verify their alignment against Phase 3 and Phase 4 delivery contracts, and present actionable recommendations for Product Management (PM) planning.</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E3A8A"/>
              <w:bottom w:val="none"/>
              <w:right w:val="none"/>
            </w:tcBorders>
            <w:tcMar>
              <w:top w:w="120" w:type="dxa"/>
              <w:bottom w:w="120" w:type="dxa"/>
              <w:left w:w="200" w:type="dxa"/>
              <w:right w:w="150" w:type="dxa"/>
            </w:tcMar>
          </w:tcPr>
          <w:p>
            <w:pPr>
              <w:spacing w:before="40" w:after="40"/>
            </w:pPr>
            <w:r>
              <w:rPr>
                <w:rFonts w:ascii="Calibri" w:hAnsi="Calibri"/>
                <w:b/>
                <w:color w:val="1E3A8A"/>
                <w:sz w:val="21"/>
              </w:rPr>
              <w:t xml:space="preserve">[KEY FINDING FOR PM] </w:t>
            </w:r>
            <w:r>
              <w:rPr>
                <w:rFonts w:ascii="Calibri" w:hAnsi="Calibri"/>
                <w:color w:val="334155"/>
                <w:sz w:val="21"/>
              </w:rPr>
              <w:t>Zero Compliance Gaps Found: All 4 workspace shell pages were deliberately created during Phase 3 as protected routing placeholders. Phase 3 and Phase 4 deliverables met 100% of their specified acceptance criteria. Full UI mutation workflows for policy building and custom admin settings were explicitly scheduled in project specs for post-Phase 4 roadmap iterations.</w:t>
            </w:r>
          </w:p>
        </w:tc>
      </w:tr>
    </w:tbl>
    <w:p>
      <w:pPr>
        <w:spacing w:after="160"/>
      </w:pPr>
    </w:p>
    <w:p>
      <w:pPr>
        <w:pStyle w:val="Heading1"/>
        <w:spacing w:before="320" w:after="120"/>
      </w:pPr>
      <w:r>
        <w:rPr>
          <w:rFonts w:ascii="Arial" w:hAnsi="Arial"/>
          <w:b/>
          <w:color w:val="0F172A"/>
          <w:sz w:val="32"/>
        </w:rPr>
        <w:t>2. Inventory &amp; Current State of Shell Pages</w:t>
      </w:r>
    </w:p>
    <w:p>
      <w:pPr>
        <w:spacing w:after="200"/>
      </w:pPr>
      <w:r>
        <w:t>During Phase 3 implementation, top-level routes were established in AppRouter.tsx under &lt;ProtectedRoute&gt;&lt;AppShell&gt; to ensure clean application navigation without broken routing links (404 errors). The following four routes currently render static layout stubs:</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100" w:type="dxa"/>
              <w:bottom w:w="100" w:type="dxa"/>
              <w:left w:w="100" w:type="dxa"/>
              <w:right w:w="100" w:type="dxa"/>
            </w:tcMar>
          </w:tcPr>
          <w:p>
            <w:pPr>
              <w:jc w:val="left"/>
            </w:pPr>
            <w:r>
              <w:rPr>
                <w:b/>
                <w:color w:val="FFFFFF"/>
                <w:sz w:val="19"/>
              </w:rPr>
              <w:t>Route URL</w:t>
            </w:r>
          </w:p>
        </w:tc>
        <w:tc>
          <w:tcPr>
            <w:tcW w:type="dxa" w:w="2592"/>
            <w:shd w:fill="1E3A8A"/>
            <w:tcMar>
              <w:top w:w="100" w:type="dxa"/>
              <w:bottom w:w="100" w:type="dxa"/>
              <w:left w:w="100" w:type="dxa"/>
              <w:right w:w="100" w:type="dxa"/>
            </w:tcMar>
          </w:tcPr>
          <w:p>
            <w:pPr>
              <w:jc w:val="left"/>
            </w:pPr>
            <w:r>
              <w:rPr>
                <w:b/>
                <w:color w:val="FFFFFF"/>
                <w:sz w:val="19"/>
              </w:rPr>
              <w:t>Component File</w:t>
            </w:r>
          </w:p>
        </w:tc>
        <w:tc>
          <w:tcPr>
            <w:tcW w:type="dxa" w:w="3312"/>
            <w:shd w:fill="1E3A8A"/>
            <w:tcMar>
              <w:top w:w="100" w:type="dxa"/>
              <w:bottom w:w="100" w:type="dxa"/>
              <w:left w:w="100" w:type="dxa"/>
              <w:right w:w="100" w:type="dxa"/>
            </w:tcMar>
          </w:tcPr>
          <w:p>
            <w:pPr>
              <w:jc w:val="left"/>
            </w:pPr>
            <w:r>
              <w:rPr>
                <w:b/>
                <w:color w:val="FFFFFF"/>
                <w:sz w:val="19"/>
              </w:rPr>
              <w:t>Current Implementation</w:t>
            </w:r>
          </w:p>
        </w:tc>
        <w:tc>
          <w:tcPr>
            <w:tcW w:type="dxa" w:w="1728"/>
            <w:shd w:fill="1E3A8A"/>
            <w:tcMar>
              <w:top w:w="100" w:type="dxa"/>
              <w:bottom w:w="100" w:type="dxa"/>
              <w:left w:w="100" w:type="dxa"/>
              <w:right w:w="100" w:type="dxa"/>
            </w:tcMar>
          </w:tcPr>
          <w:p>
            <w:pPr>
              <w:jc w:val="left"/>
            </w:pPr>
            <w:r>
              <w:rPr>
                <w:b/>
                <w:color w:val="FFFFFF"/>
                <w:sz w:val="19"/>
              </w:rPr>
              <w:t>Technical Status</w:t>
            </w:r>
          </w:p>
        </w:tc>
      </w:tr>
      <w:tr>
        <w:tc>
          <w:tcPr>
            <w:tcW w:type="dxa" w:w="1728"/>
            <w:shd w:fill="F8FAFC"/>
            <w:tcMar>
              <w:top w:w="80" w:type="dxa"/>
              <w:bottom w:w="80" w:type="dxa"/>
              <w:left w:w="100" w:type="dxa"/>
              <w:right w:w="100" w:type="dxa"/>
            </w:tcMar>
          </w:tcPr>
          <w:p>
            <w:pPr>
              <w:spacing w:after="0"/>
            </w:pPr>
            <w:r>
              <w:rPr>
                <w:sz w:val="19"/>
              </w:rPr>
              <w:t>/policies</w:t>
            </w:r>
          </w:p>
        </w:tc>
        <w:tc>
          <w:tcPr>
            <w:tcW w:type="dxa" w:w="2592"/>
            <w:shd w:fill="F8FAFC"/>
            <w:tcMar>
              <w:top w:w="80" w:type="dxa"/>
              <w:bottom w:w="80" w:type="dxa"/>
              <w:left w:w="100" w:type="dxa"/>
              <w:right w:w="100" w:type="dxa"/>
            </w:tcMar>
          </w:tcPr>
          <w:p>
            <w:pPr>
              <w:spacing w:after="0"/>
            </w:pPr>
            <w:r>
              <w:rPr>
                <w:sz w:val="19"/>
              </w:rPr>
              <w:t>PoliciesDashboardPage.tsx</w:t>
            </w:r>
          </w:p>
        </w:tc>
        <w:tc>
          <w:tcPr>
            <w:tcW w:type="dxa" w:w="3312"/>
            <w:shd w:fill="F8FAFC"/>
            <w:tcMar>
              <w:top w:w="80" w:type="dxa"/>
              <w:bottom w:w="80" w:type="dxa"/>
              <w:left w:w="100" w:type="dxa"/>
              <w:right w:w="100" w:type="dxa"/>
            </w:tcMar>
          </w:tcPr>
          <w:p>
            <w:pPr>
              <w:spacing w:after="0"/>
            </w:pPr>
            <w:r>
              <w:rPr>
                <w:sz w:val="19"/>
              </w:rPr>
              <w:t>Renders ModuleLayout with static cards ('12 Active Policies', '100% Compliance'). No backend API integration.</w:t>
            </w:r>
          </w:p>
        </w:tc>
        <w:tc>
          <w:tcPr>
            <w:tcW w:type="dxa" w:w="1728"/>
            <w:shd w:fill="F8FAFC"/>
            <w:tcMar>
              <w:top w:w="80" w:type="dxa"/>
              <w:bottom w:w="80" w:type="dxa"/>
              <w:left w:w="100" w:type="dxa"/>
              <w:right w:w="100" w:type="dxa"/>
            </w:tcMar>
          </w:tcPr>
          <w:p>
            <w:pPr>
              <w:spacing w:after="0"/>
            </w:pPr>
            <w:r>
              <w:rPr>
                <w:b/>
                <w:color w:val="D97706"/>
                <w:sz w:val="19"/>
              </w:rPr>
              <w:t>Static Shell</w:t>
            </w:r>
          </w:p>
        </w:tc>
      </w:tr>
      <w:tr>
        <w:tc>
          <w:tcPr>
            <w:tcW w:type="dxa" w:w="1728"/>
            <w:shd w:fill="FFFFFF"/>
            <w:tcMar>
              <w:top w:w="80" w:type="dxa"/>
              <w:bottom w:w="80" w:type="dxa"/>
              <w:left w:w="100" w:type="dxa"/>
              <w:right w:w="100" w:type="dxa"/>
            </w:tcMar>
          </w:tcPr>
          <w:p>
            <w:pPr>
              <w:spacing w:after="0"/>
            </w:pPr>
            <w:r>
              <w:rPr>
                <w:sz w:val="19"/>
              </w:rPr>
              <w:t>/risk</w:t>
            </w:r>
          </w:p>
        </w:tc>
        <w:tc>
          <w:tcPr>
            <w:tcW w:type="dxa" w:w="2592"/>
            <w:shd w:fill="FFFFFF"/>
            <w:tcMar>
              <w:top w:w="80" w:type="dxa"/>
              <w:bottom w:w="80" w:type="dxa"/>
              <w:left w:w="100" w:type="dxa"/>
              <w:right w:w="100" w:type="dxa"/>
            </w:tcMar>
          </w:tcPr>
          <w:p>
            <w:pPr>
              <w:spacing w:after="0"/>
            </w:pPr>
            <w:r>
              <w:rPr>
                <w:sz w:val="19"/>
              </w:rPr>
              <w:t>RiskWorkspacePage.tsx</w:t>
            </w:r>
          </w:p>
        </w:tc>
        <w:tc>
          <w:tcPr>
            <w:tcW w:type="dxa" w:w="3312"/>
            <w:shd w:fill="FFFFFF"/>
            <w:tcMar>
              <w:top w:w="80" w:type="dxa"/>
              <w:bottom w:w="80" w:type="dxa"/>
              <w:left w:w="100" w:type="dxa"/>
              <w:right w:w="100" w:type="dxa"/>
            </w:tcMar>
          </w:tcPr>
          <w:p>
            <w:pPr>
              <w:spacing w:after="0"/>
            </w:pPr>
            <w:r>
              <w:rPr>
                <w:sz w:val="19"/>
              </w:rPr>
              <w:t>Renders ModuleLayout with static metric cards ('LOW Risk Score', '18 Scanned Assets'). No backend API integration.</w:t>
            </w:r>
          </w:p>
        </w:tc>
        <w:tc>
          <w:tcPr>
            <w:tcW w:type="dxa" w:w="1728"/>
            <w:shd w:fill="FFFFFF"/>
            <w:tcMar>
              <w:top w:w="80" w:type="dxa"/>
              <w:bottom w:w="80" w:type="dxa"/>
              <w:left w:w="100" w:type="dxa"/>
              <w:right w:w="100" w:type="dxa"/>
            </w:tcMar>
          </w:tcPr>
          <w:p>
            <w:pPr>
              <w:spacing w:after="0"/>
            </w:pPr>
            <w:r>
              <w:rPr>
                <w:b/>
                <w:color w:val="D97706"/>
                <w:sz w:val="19"/>
              </w:rPr>
              <w:t>Static Shell</w:t>
            </w:r>
          </w:p>
        </w:tc>
      </w:tr>
      <w:tr>
        <w:tc>
          <w:tcPr>
            <w:tcW w:type="dxa" w:w="1728"/>
            <w:shd w:fill="F8FAFC"/>
            <w:tcMar>
              <w:top w:w="80" w:type="dxa"/>
              <w:bottom w:w="80" w:type="dxa"/>
              <w:left w:w="100" w:type="dxa"/>
              <w:right w:w="100" w:type="dxa"/>
            </w:tcMar>
          </w:tcPr>
          <w:p>
            <w:pPr>
              <w:spacing w:after="0"/>
            </w:pPr>
            <w:r>
              <w:rPr>
                <w:sz w:val="19"/>
              </w:rPr>
              <w:t>/approvals</w:t>
            </w:r>
          </w:p>
        </w:tc>
        <w:tc>
          <w:tcPr>
            <w:tcW w:type="dxa" w:w="2592"/>
            <w:shd w:fill="F8FAFC"/>
            <w:tcMar>
              <w:top w:w="80" w:type="dxa"/>
              <w:bottom w:w="80" w:type="dxa"/>
              <w:left w:w="100" w:type="dxa"/>
              <w:right w:w="100" w:type="dxa"/>
            </w:tcMar>
          </w:tcPr>
          <w:p>
            <w:pPr>
              <w:spacing w:after="0"/>
            </w:pPr>
            <w:r>
              <w:rPr>
                <w:sz w:val="19"/>
              </w:rPr>
              <w:t>ApprovalHubPage.tsx</w:t>
            </w:r>
          </w:p>
        </w:tc>
        <w:tc>
          <w:tcPr>
            <w:tcW w:type="dxa" w:w="3312"/>
            <w:shd w:fill="F8FAFC"/>
            <w:tcMar>
              <w:top w:w="80" w:type="dxa"/>
              <w:bottom w:w="80" w:type="dxa"/>
              <w:left w:w="100" w:type="dxa"/>
              <w:right w:w="100" w:type="dxa"/>
            </w:tcMar>
          </w:tcPr>
          <w:p>
            <w:pPr>
              <w:spacing w:after="0"/>
            </w:pPr>
            <w:r>
              <w:rPr>
                <w:sz w:val="19"/>
              </w:rPr>
              <w:t>Renders ModuleLayout displaying static placeholder text ('You have no pending governance approvals').</w:t>
            </w:r>
          </w:p>
        </w:tc>
        <w:tc>
          <w:tcPr>
            <w:tcW w:type="dxa" w:w="1728"/>
            <w:shd w:fill="F8FAFC"/>
            <w:tcMar>
              <w:top w:w="80" w:type="dxa"/>
              <w:bottom w:w="80" w:type="dxa"/>
              <w:left w:w="100" w:type="dxa"/>
              <w:right w:w="100" w:type="dxa"/>
            </w:tcMar>
          </w:tcPr>
          <w:p>
            <w:pPr>
              <w:spacing w:after="0"/>
            </w:pPr>
            <w:r>
              <w:rPr>
                <w:b/>
                <w:color w:val="D97706"/>
                <w:sz w:val="19"/>
              </w:rPr>
              <w:t>Static Shell</w:t>
            </w:r>
          </w:p>
        </w:tc>
      </w:tr>
      <w:tr>
        <w:tc>
          <w:tcPr>
            <w:tcW w:type="dxa" w:w="1728"/>
            <w:shd w:fill="FFFFFF"/>
            <w:tcMar>
              <w:top w:w="80" w:type="dxa"/>
              <w:bottom w:w="80" w:type="dxa"/>
              <w:left w:w="100" w:type="dxa"/>
              <w:right w:w="100" w:type="dxa"/>
            </w:tcMar>
          </w:tcPr>
          <w:p>
            <w:pPr>
              <w:spacing w:after="0"/>
            </w:pPr>
            <w:r>
              <w:rPr>
                <w:sz w:val="19"/>
              </w:rPr>
              <w:t>/admin/*</w:t>
            </w:r>
          </w:p>
        </w:tc>
        <w:tc>
          <w:tcPr>
            <w:tcW w:type="dxa" w:w="2592"/>
            <w:shd w:fill="FFFFFF"/>
            <w:tcMar>
              <w:top w:w="80" w:type="dxa"/>
              <w:bottom w:w="80" w:type="dxa"/>
              <w:left w:w="100" w:type="dxa"/>
              <w:right w:w="100" w:type="dxa"/>
            </w:tcMar>
          </w:tcPr>
          <w:p>
            <w:pPr>
              <w:spacing w:after="0"/>
            </w:pPr>
            <w:r>
              <w:rPr>
                <w:sz w:val="19"/>
              </w:rPr>
              <w:t>AdminPanelPage.tsx</w:t>
            </w:r>
          </w:p>
        </w:tc>
        <w:tc>
          <w:tcPr>
            <w:tcW w:type="dxa" w:w="3312"/>
            <w:shd w:fill="FFFFFF"/>
            <w:tcMar>
              <w:top w:w="80" w:type="dxa"/>
              <w:bottom w:w="80" w:type="dxa"/>
              <w:left w:w="100" w:type="dxa"/>
              <w:right w:w="100" w:type="dxa"/>
            </w:tcMar>
          </w:tcPr>
          <w:p>
            <w:pPr>
              <w:spacing w:after="0"/>
            </w:pPr>
            <w:r>
              <w:rPr>
                <w:sz w:val="19"/>
              </w:rPr>
              <w:t>Renders ModuleLayout with static administrative sub-navigation tabs (Users, Roles, Settings).</w:t>
            </w:r>
          </w:p>
        </w:tc>
        <w:tc>
          <w:tcPr>
            <w:tcW w:type="dxa" w:w="1728"/>
            <w:shd w:fill="FFFFFF"/>
            <w:tcMar>
              <w:top w:w="80" w:type="dxa"/>
              <w:bottom w:w="80" w:type="dxa"/>
              <w:left w:w="100" w:type="dxa"/>
              <w:right w:w="100" w:type="dxa"/>
            </w:tcMar>
          </w:tcPr>
          <w:p>
            <w:pPr>
              <w:spacing w:after="0"/>
            </w:pPr>
            <w:r>
              <w:rPr>
                <w:b/>
                <w:color w:val="D97706"/>
                <w:sz w:val="19"/>
              </w:rPr>
              <w:t>Static Shell</w:t>
            </w:r>
          </w:p>
        </w:tc>
      </w:tr>
    </w:tbl>
    <w:p>
      <w:pPr>
        <w:spacing w:after="240"/>
      </w:pPr>
    </w:p>
    <w:p>
      <w:pPr>
        <w:pStyle w:val="Heading1"/>
        <w:spacing w:before="320" w:after="120"/>
      </w:pPr>
      <w:r>
        <w:rPr>
          <w:rFonts w:ascii="Arial" w:hAnsi="Arial"/>
          <w:b/>
          <w:color w:val="0F172A"/>
          <w:sz w:val="32"/>
        </w:rPr>
        <w:t>3. Specification &amp; Acceptance Criteria Verification</w:t>
      </w:r>
    </w:p>
    <w:p>
      <w:pPr>
        <w:spacing w:after="160"/>
      </w:pPr>
      <w:r>
        <w:t>A rigorous audit of the Phase 3 Detailed Task Plan (Phase3Plan_Tasks_Detail.md) and Phase 4 Task Specifications confirms that these static pages perfectly fulfill their contract terms without missing features.</w:t>
      </w:r>
    </w:p>
    <w:p>
      <w:pPr>
        <w:pStyle w:val="ListBullet"/>
        <w:spacing w:after="80"/>
      </w:pPr>
      <w:r>
        <w:rPr>
          <w:b/>
        </w:rPr>
        <w:t xml:space="preserve">Phase 3 Deliverable Scope (Tasks 1.6 &amp; 2.6): </w:t>
      </w:r>
      <w:r>
        <w:t>The frontend scope was strictly defined to build functional components for the Governance Registry &amp; Relationships (Relationship Explorer, Add Relationship Wizard, Visual Graph Viewer, Object Responsibility Panel, and Audit Timeline). Task 2.6 explicitly mandated creating 'top-level routing shells for non-registry workspace routes'.</w:t>
      </w:r>
    </w:p>
    <w:p>
      <w:pPr>
        <w:pStyle w:val="ListBullet"/>
        <w:spacing w:after="80"/>
      </w:pPr>
      <w:r>
        <w:rPr>
          <w:b/>
        </w:rPr>
        <w:t xml:space="preserve">Database Stub Policy Bindings (Task 1.4): </w:t>
      </w:r>
      <w:r>
        <w:t>Task 1.4 defined policy_bindings and evidence_links as 'stub / bridge' tables required in the DB schema for future expansion. The DDL migrations, SQLAlchemy models, and read-only GET endpoints were built in backend/app/modules/relationship/ as specified.</w:t>
      </w:r>
    </w:p>
    <w:p>
      <w:pPr>
        <w:pStyle w:val="ListBullet"/>
        <w:spacing w:after="160"/>
      </w:pPr>
      <w:r>
        <w:rPr>
          <w:b/>
        </w:rPr>
        <w:t xml:space="preserve">Phase 4 Governance &amp; Telemetry Scope: </w:t>
      </w:r>
      <w:r>
        <w:t>Phase 4 focused on physical event store implementation (governance_events), transactional outbox dispatcher, dead-letter recovery, audit export package generator, and turning AuditPage.tsx and DashboardPage.tsx into live telemetry tools. Policy frontend builder forms were documented in phase4_readiness.txt as backlog deferred to post-Phase 4.</w:t>
      </w:r>
    </w:p>
    <w:p>
      <w:pPr>
        <w:spacing w:after="160"/>
      </w:pPr>
    </w:p>
    <w:p>
      <w:pPr>
        <w:pStyle w:val="Heading1"/>
        <w:spacing w:before="320" w:after="120"/>
      </w:pPr>
      <w:r>
        <w:rPr>
          <w:rFonts w:ascii="Arial" w:hAnsi="Arial"/>
          <w:b/>
          <w:color w:val="0F172A"/>
          <w:sz w:val="32"/>
        </w:rPr>
        <w:t>4. Live Functional Counterparts in GuardianIQ</w:t>
      </w:r>
    </w:p>
    <w:p>
      <w:pPr>
        <w:spacing w:after="200"/>
      </w:pPr>
      <w:r>
        <w:t>To avoid confusion, it is important for Product Management to note that while the shell pages listed in Section 2 are static, their underlying functional capabilities exist and are fully operational across dedicated modules in GuardianIQ:</w:t>
      </w:r>
    </w:p>
    <w:tbl>
      <w:tblPr>
        <w:tblW w:type="auto" w:w="0"/>
        <w:jc w:val="center"/>
        <w:tblLook w:firstColumn="1" w:firstRow="1" w:lastColumn="0" w:lastRow="0" w:noHBand="0" w:noVBand="1" w:val="04A0"/>
      </w:tblPr>
      <w:tblGrid>
        <w:gridCol w:w="3120"/>
        <w:gridCol w:w="3120"/>
        <w:gridCol w:w="3120"/>
      </w:tblGrid>
      <w:tr>
        <w:tc>
          <w:tcPr>
            <w:tcW w:type="dxa" w:w="2592"/>
            <w:shd w:fill="0F766E"/>
            <w:tcMar>
              <w:top w:w="100" w:type="dxa"/>
              <w:bottom w:w="100" w:type="dxa"/>
              <w:left w:w="100" w:type="dxa"/>
              <w:right w:w="100" w:type="dxa"/>
            </w:tcMar>
          </w:tcPr>
          <w:p>
            <w:pPr>
              <w:jc w:val="left"/>
            </w:pPr>
            <w:r>
              <w:rPr>
                <w:b/>
                <w:color w:val="FFFFFF"/>
                <w:sz w:val="19"/>
              </w:rPr>
              <w:t>Domain / Capability</w:t>
            </w:r>
          </w:p>
        </w:tc>
        <w:tc>
          <w:tcPr>
            <w:tcW w:type="dxa" w:w="2592"/>
            <w:shd w:fill="0F766E"/>
            <w:tcMar>
              <w:top w:w="100" w:type="dxa"/>
              <w:bottom w:w="100" w:type="dxa"/>
              <w:left w:w="100" w:type="dxa"/>
              <w:right w:w="100" w:type="dxa"/>
            </w:tcMar>
          </w:tcPr>
          <w:p>
            <w:pPr>
              <w:jc w:val="left"/>
            </w:pPr>
            <w:r>
              <w:rPr>
                <w:b/>
                <w:color w:val="FFFFFF"/>
                <w:sz w:val="19"/>
              </w:rPr>
              <w:t>Placeholder Shell Path</w:t>
            </w:r>
          </w:p>
        </w:tc>
        <w:tc>
          <w:tcPr>
            <w:tcW w:type="dxa" w:w="4176"/>
            <w:shd w:fill="0F766E"/>
            <w:tcMar>
              <w:top w:w="100" w:type="dxa"/>
              <w:bottom w:w="100" w:type="dxa"/>
              <w:left w:w="100" w:type="dxa"/>
              <w:right w:w="100" w:type="dxa"/>
            </w:tcMar>
          </w:tcPr>
          <w:p>
            <w:pPr>
              <w:jc w:val="left"/>
            </w:pPr>
            <w:r>
              <w:rPr>
                <w:b/>
                <w:color w:val="FFFFFF"/>
                <w:sz w:val="19"/>
              </w:rPr>
              <w:t>Fully Functional Operational UI Path</w:t>
            </w:r>
          </w:p>
        </w:tc>
      </w:tr>
      <w:tr>
        <w:tc>
          <w:tcPr>
            <w:tcW w:type="dxa" w:w="2592"/>
            <w:shd w:fill="F0FDF4"/>
            <w:tcMar>
              <w:top w:w="80" w:type="dxa"/>
              <w:bottom w:w="80" w:type="dxa"/>
              <w:left w:w="100" w:type="dxa"/>
              <w:right w:w="100" w:type="dxa"/>
            </w:tcMar>
          </w:tcPr>
          <w:p>
            <w:pPr>
              <w:spacing w:after="0"/>
            </w:pPr>
            <w:r>
              <w:rPr>
                <w:sz w:val="19"/>
              </w:rPr>
              <w:t>Approval Management</w:t>
            </w:r>
          </w:p>
        </w:tc>
        <w:tc>
          <w:tcPr>
            <w:tcW w:type="dxa" w:w="2592"/>
            <w:shd w:fill="F0FDF4"/>
            <w:tcMar>
              <w:top w:w="80" w:type="dxa"/>
              <w:bottom w:w="80" w:type="dxa"/>
              <w:left w:w="100" w:type="dxa"/>
              <w:right w:w="100" w:type="dxa"/>
            </w:tcMar>
          </w:tcPr>
          <w:p>
            <w:pPr>
              <w:spacing w:after="0"/>
            </w:pPr>
            <w:r>
              <w:rPr>
                <w:sz w:val="19"/>
              </w:rPr>
              <w:t>/approvals (ApprovalHubPage)</w:t>
            </w:r>
          </w:p>
        </w:tc>
        <w:tc>
          <w:tcPr>
            <w:tcW w:type="dxa" w:w="4176"/>
            <w:shd w:fill="F0FDF4"/>
            <w:tcMar>
              <w:top w:w="80" w:type="dxa"/>
              <w:bottom w:w="80" w:type="dxa"/>
              <w:left w:w="100" w:type="dxa"/>
              <w:right w:w="100" w:type="dxa"/>
            </w:tcMar>
          </w:tcPr>
          <w:p>
            <w:pPr>
              <w:spacing w:after="0"/>
            </w:pPr>
            <w:r>
              <w:rPr>
                <w:b/>
                <w:sz w:val="19"/>
              </w:rPr>
              <w:t>/schedule-approvals (ScheduleApprovalQueue.tsx) - Full governance approval workflow queue.</w:t>
            </w:r>
          </w:p>
        </w:tc>
      </w:tr>
      <w:tr>
        <w:tc>
          <w:tcPr>
            <w:tcW w:type="dxa" w:w="2592"/>
            <w:shd w:fill="FFFFFF"/>
            <w:tcMar>
              <w:top w:w="80" w:type="dxa"/>
              <w:bottom w:w="80" w:type="dxa"/>
              <w:left w:w="100" w:type="dxa"/>
              <w:right w:w="100" w:type="dxa"/>
            </w:tcMar>
          </w:tcPr>
          <w:p>
            <w:pPr>
              <w:spacing w:after="0"/>
            </w:pPr>
            <w:r>
              <w:rPr>
                <w:sz w:val="19"/>
              </w:rPr>
              <w:t>User &amp; Role Administration</w:t>
            </w:r>
          </w:p>
        </w:tc>
        <w:tc>
          <w:tcPr>
            <w:tcW w:type="dxa" w:w="2592"/>
            <w:shd w:fill="FFFFFF"/>
            <w:tcMar>
              <w:top w:w="80" w:type="dxa"/>
              <w:bottom w:w="80" w:type="dxa"/>
              <w:left w:w="100" w:type="dxa"/>
              <w:right w:w="100" w:type="dxa"/>
            </w:tcMar>
          </w:tcPr>
          <w:p>
            <w:pPr>
              <w:spacing w:after="0"/>
            </w:pPr>
            <w:r>
              <w:rPr>
                <w:sz w:val="19"/>
              </w:rPr>
              <w:t>/admin/users, /admin/roles (AdminPanel)</w:t>
            </w:r>
          </w:p>
        </w:tc>
        <w:tc>
          <w:tcPr>
            <w:tcW w:type="dxa" w:w="4176"/>
            <w:shd w:fill="FFFFFF"/>
            <w:tcMar>
              <w:top w:w="80" w:type="dxa"/>
              <w:bottom w:w="80" w:type="dxa"/>
              <w:left w:w="100" w:type="dxa"/>
              <w:right w:w="100" w:type="dxa"/>
            </w:tcMar>
          </w:tcPr>
          <w:p>
            <w:pPr>
              <w:spacing w:after="0"/>
            </w:pPr>
            <w:r>
              <w:rPr>
                <w:b/>
                <w:sz w:val="19"/>
              </w:rPr>
              <w:t>/registry/users-roles (RegistryUsersRolesPage.tsx) - Full ABAC user &amp; role management.</w:t>
            </w:r>
          </w:p>
        </w:tc>
      </w:tr>
      <w:tr>
        <w:tc>
          <w:tcPr>
            <w:tcW w:type="dxa" w:w="2592"/>
            <w:shd w:fill="F0FDF4"/>
            <w:tcMar>
              <w:top w:w="80" w:type="dxa"/>
              <w:bottom w:w="80" w:type="dxa"/>
              <w:left w:w="100" w:type="dxa"/>
              <w:right w:w="100" w:type="dxa"/>
            </w:tcMar>
          </w:tcPr>
          <w:p>
            <w:pPr>
              <w:spacing w:after="0"/>
            </w:pPr>
            <w:r>
              <w:rPr>
                <w:sz w:val="19"/>
              </w:rPr>
              <w:t>Tenant Administration</w:t>
            </w:r>
          </w:p>
        </w:tc>
        <w:tc>
          <w:tcPr>
            <w:tcW w:type="dxa" w:w="2592"/>
            <w:shd w:fill="F0FDF4"/>
            <w:tcMar>
              <w:top w:w="80" w:type="dxa"/>
              <w:bottom w:w="80" w:type="dxa"/>
              <w:left w:w="100" w:type="dxa"/>
              <w:right w:w="100" w:type="dxa"/>
            </w:tcMar>
          </w:tcPr>
          <w:p>
            <w:pPr>
              <w:spacing w:after="0"/>
            </w:pPr>
            <w:r>
              <w:rPr>
                <w:sz w:val="19"/>
              </w:rPr>
              <w:t>/admin/settings (AdminPanel)</w:t>
            </w:r>
          </w:p>
        </w:tc>
        <w:tc>
          <w:tcPr>
            <w:tcW w:type="dxa" w:w="4176"/>
            <w:shd w:fill="F0FDF4"/>
            <w:tcMar>
              <w:top w:w="80" w:type="dxa"/>
              <w:bottom w:w="80" w:type="dxa"/>
              <w:left w:w="100" w:type="dxa"/>
              <w:right w:w="100" w:type="dxa"/>
            </w:tcMar>
          </w:tcPr>
          <w:p>
            <w:pPr>
              <w:spacing w:after="0"/>
            </w:pPr>
            <w:r>
              <w:rPr>
                <w:b/>
                <w:sz w:val="19"/>
              </w:rPr>
              <w:t>/tenants (TenantsPage.tsx) - Multi-tenant configuration and tenant isolation management.</w:t>
            </w:r>
          </w:p>
        </w:tc>
      </w:tr>
      <w:tr>
        <w:tc>
          <w:tcPr>
            <w:tcW w:type="dxa" w:w="2592"/>
            <w:shd w:fill="FFFFFF"/>
            <w:tcMar>
              <w:top w:w="80" w:type="dxa"/>
              <w:bottom w:w="80" w:type="dxa"/>
              <w:left w:w="100" w:type="dxa"/>
              <w:right w:w="100" w:type="dxa"/>
            </w:tcMar>
          </w:tcPr>
          <w:p>
            <w:pPr>
              <w:spacing w:after="0"/>
            </w:pPr>
            <w:r>
              <w:rPr>
                <w:sz w:val="19"/>
              </w:rPr>
              <w:t>Policy Enforcement</w:t>
            </w:r>
          </w:p>
        </w:tc>
        <w:tc>
          <w:tcPr>
            <w:tcW w:type="dxa" w:w="2592"/>
            <w:shd w:fill="FFFFFF"/>
            <w:tcMar>
              <w:top w:w="80" w:type="dxa"/>
              <w:bottom w:w="80" w:type="dxa"/>
              <w:left w:w="100" w:type="dxa"/>
              <w:right w:w="100" w:type="dxa"/>
            </w:tcMar>
          </w:tcPr>
          <w:p>
            <w:pPr>
              <w:spacing w:after="0"/>
            </w:pPr>
            <w:r>
              <w:rPr>
                <w:sz w:val="19"/>
              </w:rPr>
              <w:t>/policies (PoliciesDashboard)</w:t>
            </w:r>
          </w:p>
        </w:tc>
        <w:tc>
          <w:tcPr>
            <w:tcW w:type="dxa" w:w="4176"/>
            <w:shd w:fill="FFFFFF"/>
            <w:tcMar>
              <w:top w:w="80" w:type="dxa"/>
              <w:bottom w:w="80" w:type="dxa"/>
              <w:left w:w="100" w:type="dxa"/>
              <w:right w:w="100" w:type="dxa"/>
            </w:tcMar>
          </w:tcPr>
          <w:p>
            <w:pPr>
              <w:spacing w:after="0"/>
            </w:pPr>
            <w:r>
              <w:rPr>
                <w:b/>
                <w:sz w:val="19"/>
              </w:rPr>
              <w:t>Backend Code-level Enforcement: ABAC (abac_service.py), Agent Boundary Checker (boundary_checker.py), Schedule Rules.</w:t>
            </w:r>
          </w:p>
        </w:tc>
      </w:tr>
    </w:tbl>
    <w:p>
      <w:pPr>
        <w:spacing w:after="240"/>
      </w:pPr>
    </w:p>
    <w:p>
      <w:pPr>
        <w:pStyle w:val="Heading1"/>
        <w:spacing w:before="320" w:after="120"/>
      </w:pPr>
      <w:r>
        <w:rPr>
          <w:rFonts w:ascii="Arial" w:hAnsi="Arial"/>
          <w:b/>
          <w:color w:val="0F172A"/>
          <w:sz w:val="32"/>
        </w:rPr>
        <w:t>5. Recommendations &amp; Phase 5 Roadmap Plan</w:t>
      </w:r>
    </w:p>
    <w:p>
      <w:pPr>
        <w:spacing w:after="200"/>
      </w:pPr>
      <w:r>
        <w:t>For upcoming Phase 5 sprint planning, Product Management can prioritize turning these shell pages into full UI features by leveraging the backend infrastructure already completed in Phase 4. Below is the proposed feature implementation plan:</w:t>
      </w:r>
    </w:p>
    <w:p>
      <w:pPr>
        <w:pStyle w:val="ListBullet"/>
        <w:spacing w:after="120"/>
      </w:pPr>
      <w:r>
        <w:rPr>
          <w:b/>
          <w:color w:val="1E3A8A"/>
        </w:rPr>
        <w:t xml:space="preserve">Policy Management Module (/policies): </w:t>
      </w:r>
      <w:r>
        <w:t>Build an interactive Visual Policy Builder form UI. Connect frontend to backend/app/modules/relationship/ models for creating, editing, and binding policy_bindings and evidence_links directly to registry entities.</w:t>
      </w:r>
    </w:p>
    <w:p>
      <w:pPr>
        <w:pStyle w:val="ListBullet"/>
        <w:spacing w:after="120"/>
      </w:pPr>
      <w:r>
        <w:rPr>
          <w:b/>
          <w:color w:val="1E3A8A"/>
        </w:rPr>
        <w:t xml:space="preserve">Consolidated Approval Hub (/approvals): </w:t>
      </w:r>
      <w:r>
        <w:t>Expand the current /schedule-approvals queue into a unified multi-domain Approval Hub (/approvals) that handles schedule requests, boundary override approvals, and policy exception requests under one view.</w:t>
      </w:r>
    </w:p>
    <w:p>
      <w:pPr>
        <w:pStyle w:val="ListBullet"/>
        <w:spacing w:after="120"/>
      </w:pPr>
      <w:r>
        <w:rPr>
          <w:b/>
          <w:color w:val="1E3A8A"/>
        </w:rPr>
        <w:t xml:space="preserve">Risk Assessment Workspace (/risk): </w:t>
      </w:r>
      <w:r>
        <w:t>Connect /risk to the backend risk score calculation engine and ABAC clearance metrics to render automated security risk heatmaps and asset risk ratings.</w:t>
      </w:r>
    </w:p>
    <w:p>
      <w:pPr>
        <w:pStyle w:val="ListBullet"/>
        <w:spacing w:after="120"/>
      </w:pPr>
      <w:r>
        <w:rPr>
          <w:b/>
          <w:color w:val="1E3A8A"/>
        </w:rPr>
        <w:t xml:space="preserve">Unified Admin Settings (/admin/*): </w:t>
      </w:r>
      <w:r>
        <w:t>Consolidate tenant management (/tenants) and RBAC user management (/registry/users-roles) into the tabbed sub-navigation of /admin for a seamless enterprise administration experience.</w:t>
      </w:r>
    </w:p>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