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B0F17"/>
          <w:sz w:val="48"/>
        </w:rPr>
        <w:t>GUARDIANIQ PHASE 3 — ENTERPRISE AI GOVERNANCE</w:t>
      </w:r>
    </w:p>
    <w:p>
      <w:r>
        <w:rPr>
          <w:b/>
          <w:color w:val="0E7490"/>
          <w:sz w:val="28"/>
        </w:rPr>
        <w:t>Executive Presenter Script &amp; Technical Companion Guide</w:t>
      </w:r>
    </w:p>
    <w:tbl>
      <w:tblPr>
        <w:tblW w:type="auto" w:w="0"/>
        <w:jc w:val="center"/>
        <w:tblLook w:firstColumn="1" w:firstRow="1" w:lastColumn="0" w:lastRow="0" w:noHBand="0" w:noVBand="1" w:val="04A0"/>
      </w:tblPr>
      <w:tblGrid>
        <w:gridCol w:w="4680"/>
        <w:gridCol w:w="4680"/>
      </w:tblGrid>
      <w:tr>
        <w:tc>
          <w:tcPr>
            <w:tcW w:type="dxa" w:w="4680"/>
          </w:tcPr>
          <w:p>
            <w:r>
              <w:rPr>
                <w:b/>
                <w:color w:val="475569"/>
                <w:sz w:val="20"/>
              </w:rPr>
              <w:t>Target Release:</w:t>
            </w:r>
          </w:p>
        </w:tc>
        <w:tc>
          <w:tcPr>
            <w:tcW w:type="dxa" w:w="4680"/>
          </w:tcPr>
          <w:p>
            <w:r>
              <w:rPr>
                <w:color w:val="1E293B"/>
                <w:sz w:val="20"/>
              </w:rPr>
              <w:t>GuardianIQ Platform Release Candidate (v3.0.0-rc2)</w:t>
            </w:r>
          </w:p>
        </w:tc>
      </w:tr>
      <w:tr>
        <w:tc>
          <w:tcPr>
            <w:tcW w:type="dxa" w:w="4680"/>
          </w:tcPr>
          <w:p>
            <w:r>
              <w:rPr>
                <w:b/>
                <w:color w:val="475569"/>
                <w:sz w:val="20"/>
              </w:rPr>
              <w:t>Target Audience:</w:t>
            </w:r>
          </w:p>
        </w:tc>
        <w:tc>
          <w:tcPr>
            <w:tcW w:type="dxa" w:w="4680"/>
          </w:tcPr>
          <w:p>
            <w:r>
              <w:rPr>
                <w:color w:val="1E293B"/>
                <w:sz w:val="20"/>
              </w:rPr>
              <w:t>CTO, Engineering Managers, Solution Architects, Tech Leads</w:t>
            </w:r>
          </w:p>
        </w:tc>
      </w:tr>
      <w:tr>
        <w:tc>
          <w:tcPr>
            <w:tcW w:type="dxa" w:w="4680"/>
          </w:tcPr>
          <w:p>
            <w:r>
              <w:rPr>
                <w:b/>
                <w:color w:val="475569"/>
                <w:sz w:val="20"/>
              </w:rPr>
              <w:t>Presentation File:</w:t>
            </w:r>
          </w:p>
        </w:tc>
        <w:tc>
          <w:tcPr>
            <w:tcW w:type="dxa" w:w="4680"/>
          </w:tcPr>
          <w:p>
            <w:r>
              <w:rPr>
                <w:color w:val="1E293B"/>
                <w:sz w:val="20"/>
              </w:rPr>
              <w:t>GuardianIQ_Phase3_Technical_Review_Presentation.pptx</w:t>
            </w:r>
          </w:p>
        </w:tc>
      </w:tr>
      <w:tr>
        <w:tc>
          <w:tcPr>
            <w:tcW w:type="dxa" w:w="4680"/>
          </w:tcPr>
          <w:p>
            <w:r>
              <w:rPr>
                <w:b/>
                <w:color w:val="475569"/>
                <w:sz w:val="20"/>
              </w:rPr>
              <w:t>Document ID:</w:t>
            </w:r>
          </w:p>
        </w:tc>
        <w:tc>
          <w:tcPr>
            <w:tcW w:type="dxa" w:w="4680"/>
          </w:tcPr>
          <w:p>
            <w:r>
              <w:rPr>
                <w:color w:val="1E293B"/>
                <w:sz w:val="20"/>
              </w:rPr>
              <w:t>GIQ-SCRIPT-P3-2026-V1.0</w:t>
            </w:r>
          </w:p>
        </w:tc>
      </w:tr>
    </w:tbl>
    <w:p>
      <w:pPr>
        <w:spacing w:after="240"/>
      </w:pPr>
    </w:p>
    <w:p>
      <w:pPr>
        <w:spacing w:before="360" w:after="80"/>
      </w:pPr>
      <w:r>
        <w:rPr>
          <w:b/>
          <w:color w:val="0B0F17"/>
          <w:sz w:val="32"/>
        </w:rPr>
        <w:t>SLIDE 1: TITLE &amp; PHASE 3 OVERVIEW</w:t>
      </w:r>
    </w:p>
    <w:p>
      <w:pPr>
        <w:spacing w:after="160"/>
      </w:pPr>
      <w:r>
        <w:rPr>
          <w:b/>
          <w:color w:val="0E7490"/>
        </w:rPr>
        <w:t xml:space="preserve">📌 Visual Context: </w:t>
      </w:r>
      <w:r>
        <w:rPr>
          <w:i/>
          <w:color w:val="475569"/>
        </w:rPr>
        <w:t>Slide 1 displays the main title, release candidate version (v3.0.0-rc2), and 3 horizontal outcome cards highlighting Relationship-Aware Governance, Automated Dependency Analysis, and Ownership Framework.</w:t>
      </w:r>
    </w:p>
    <w:p>
      <w:pPr>
        <w:spacing w:before="80" w:after="40"/>
      </w:pPr>
      <w:r>
        <w:rPr>
          <w:b/>
          <w:color w:val="0B0F17"/>
          <w:sz w:val="24"/>
        </w:rPr>
        <w:t>🎙️ Spoken Presenter Script:</w:t>
      </w:r>
    </w:p>
    <w:p>
      <w:pPr>
        <w:spacing w:after="120" w:line="276" w:lineRule="auto"/>
      </w:pPr>
      <w:r>
        <w:rPr>
          <w:color w:val="1E293B"/>
          <w:sz w:val="22"/>
        </w:rPr>
        <w:t>"Good morning, everyone. Today we are conducting the Phase 3 technical readiness review for the GuardianIQ Enterprise AI Governance Platform, specifically evaluating Release Candidate v3.0.0-rc2."</w:t>
      </w:r>
    </w:p>
    <w:p>
      <w:pPr>
        <w:spacing w:after="120" w:line="276" w:lineRule="auto"/>
      </w:pPr>
      <w:r>
        <w:rPr>
          <w:color w:val="1E293B"/>
          <w:sz w:val="22"/>
        </w:rPr>
        <w:t>"In previous phases, we built our core authentication and entity registries. However, as our autonomous AI deployment scaled, entities remained isolated in static database rows. Phase 3 transitions GuardianIQ into an active, relationship-aware governance mesh."</w:t>
      </w:r>
    </w:p>
    <w:p>
      <w:pPr>
        <w:spacing w:after="120" w:line="276" w:lineRule="auto"/>
      </w:pPr>
      <w:r>
        <w:rPr>
          <w:color w:val="1E293B"/>
          <w:sz w:val="22"/>
        </w:rPr>
        <w:t>"Today's presentation focuses on three core outcomes delivered in Phase 3: First, establishing explicit semantic relationships across models, agents, workflows, and tools. Second, providing real-time 1-to-5 hop dependency analysis before changes reach production. Third, enforcing single primary asset ownership inside atomic database transactions."</w:t>
      </w:r>
    </w:p>
    <w:p>
      <w:pPr>
        <w:spacing w:before="120" w:after="40"/>
      </w:pPr>
      <w:r>
        <w:rPr>
          <w:b/>
          <w:color w:val="0E7490"/>
          <w:sz w:val="22"/>
        </w:rPr>
        <w:t>💡 Key Technical Talking Points &amp; Anticipated Q&amp;A:</w:t>
      </w:r>
    </w:p>
    <w:p>
      <w:pPr>
        <w:pStyle w:val="ListBullet"/>
        <w:spacing w:after="60"/>
      </w:pPr>
      <w:r>
        <w:rPr>
          <w:color w:val="1E293B"/>
          <w:sz w:val="20"/>
        </w:rPr>
        <w:t>Target Release: Release Candidate v3.0.0-rc2.</w:t>
      </w:r>
    </w:p>
    <w:p>
      <w:pPr>
        <w:pStyle w:val="ListBullet"/>
        <w:spacing w:after="60"/>
      </w:pPr>
      <w:r>
        <w:rPr>
          <w:color w:val="1E293B"/>
          <w:sz w:val="20"/>
        </w:rPr>
        <w:t>Audience Focus: Technical readiness, system architecture, UI capabilities, and empirical QA test results.</w:t>
      </w:r>
    </w:p>
    <w:p>
      <w:pPr>
        <w:pStyle w:val="ListBullet"/>
        <w:spacing w:after="60"/>
      </w:pPr>
      <w:r>
        <w:rPr>
          <w:color w:val="1E293B"/>
          <w:sz w:val="20"/>
        </w:rPr>
        <w:t>Goal of Presentation: To present the technical evidence supporting our recommendation for production approval.</w:t>
      </w:r>
    </w:p>
    <w:p>
      <w:pPr>
        <w:spacing w:before="120" w:after="320"/>
      </w:pPr>
      <w:r>
        <w:rPr>
          <w:b/>
          <w:color w:val="0E7490"/>
        </w:rPr>
        <w:t xml:space="preserve">➡️ Verbal Segue to Next Slide: </w:t>
      </w:r>
      <w:r>
        <w:rPr>
          <w:i/>
        </w:rPr>
        <w:t>"Let's begin by reviewing the structural limitations of our legacy flat registries and why Phase 3's relationship mesh was necessary."</w:t>
      </w:r>
    </w:p>
    <w:p>
      <w:pPr>
        <w:spacing w:after="120"/>
      </w:pPr>
    </w:p>
    <w:p>
      <w:pPr>
        <w:spacing w:before="360" w:after="80"/>
      </w:pPr>
      <w:r>
        <w:rPr>
          <w:b/>
          <w:color w:val="0B0F17"/>
          <w:sz w:val="32"/>
        </w:rPr>
        <w:t>SLIDE 2: EVOLUTION: STATIC REGISTRIES TO GOVERNANCE MESH</w:t>
      </w:r>
    </w:p>
    <w:p>
      <w:pPr>
        <w:spacing w:after="160"/>
      </w:pPr>
      <w:r>
        <w:rPr>
          <w:b/>
          <w:color w:val="0E7490"/>
        </w:rPr>
        <w:t xml:space="preserve">📌 Visual Context: </w:t>
      </w:r>
      <w:r>
        <w:rPr>
          <w:i/>
          <w:color w:val="475569"/>
        </w:rPr>
        <w:t>Slide 2 features a two-column comparison contrasting the static records of Phases 0-2 against the active relationship mesh of Phase 3.</w:t>
      </w:r>
    </w:p>
    <w:p>
      <w:pPr>
        <w:spacing w:before="80" w:after="40"/>
      </w:pPr>
      <w:r>
        <w:rPr>
          <w:b/>
          <w:color w:val="0B0F17"/>
          <w:sz w:val="24"/>
        </w:rPr>
        <w:t>🎙️ Spoken Presenter Script:</w:t>
      </w:r>
    </w:p>
    <w:p>
      <w:pPr>
        <w:spacing w:after="120" w:line="276" w:lineRule="auto"/>
      </w:pPr>
      <w:r>
        <w:rPr>
          <w:color w:val="1E293B"/>
          <w:sz w:val="22"/>
        </w:rPr>
        <w:t>"If we examine our baseline architecture from Phases 0 through 2, we successfully implemented identity context, entity schemas, and scheduled execution logging. However, assets existed as disjointed records."</w:t>
      </w:r>
    </w:p>
    <w:p>
      <w:pPr>
        <w:spacing w:after="120" w:line="276" w:lineRule="auto"/>
      </w:pPr>
      <w:r>
        <w:rPr>
          <w:color w:val="1E293B"/>
          <w:sz w:val="22"/>
        </w:rPr>
        <w:t>"If an engineering team updated or revoked a shared tool or LLM model, there was no automated mechanism to identify downstream dependencies. The change went through, and downstream autonomous agents failed silently in production."</w:t>
      </w:r>
    </w:p>
    <w:p>
      <w:pPr>
        <w:spacing w:after="120" w:line="276" w:lineRule="auto"/>
      </w:pPr>
      <w:r>
        <w:rPr>
          <w:color w:val="1E293B"/>
          <w:sz w:val="22"/>
        </w:rPr>
        <w:t>"Phase 3 resolves this gap by introducing generic_relationships for multi-directional entity ontology, object_responsibilities for single primary owner resolution, 7 mandatory validation rules, and an interactive React Flow graph canvas for real-time visual exploration."</w:t>
      </w:r>
    </w:p>
    <w:p>
      <w:pPr>
        <w:spacing w:before="120" w:after="40"/>
      </w:pPr>
      <w:r>
        <w:rPr>
          <w:b/>
          <w:color w:val="0E7490"/>
          <w:sz w:val="22"/>
        </w:rPr>
        <w:t>💡 Key Technical Talking Points &amp; Anticipated Q&amp;A:</w:t>
      </w:r>
    </w:p>
    <w:p>
      <w:pPr>
        <w:pStyle w:val="ListBullet"/>
        <w:spacing w:after="60"/>
      </w:pPr>
      <w:r>
        <w:rPr>
          <w:color w:val="1E293B"/>
          <w:sz w:val="20"/>
        </w:rPr>
        <w:t>Core Schema Tables Introduced: generic_relationships, object_responsibilities, policy_bindings, evidence_links.</w:t>
      </w:r>
    </w:p>
    <w:p>
      <w:pPr>
        <w:pStyle w:val="ListBullet"/>
        <w:spacing w:after="60"/>
      </w:pPr>
      <w:r>
        <w:rPr>
          <w:color w:val="1E293B"/>
          <w:sz w:val="20"/>
        </w:rPr>
        <w:t>Ontology Link Types: USES_TOOL, GOVERNS, EXECUTES, CALLS_MODEL, ACCESSED_BY.</w:t>
      </w:r>
    </w:p>
    <w:p>
      <w:pPr>
        <w:pStyle w:val="ListBullet"/>
        <w:spacing w:after="60"/>
      </w:pPr>
      <w:r>
        <w:rPr>
          <w:color w:val="1E293B"/>
          <w:sz w:val="20"/>
        </w:rPr>
        <w:t>Primary Outcome: Eliminates silent agent outages by shifting from post-failure logging to pre-execution dependency validation.</w:t>
      </w:r>
    </w:p>
    <w:p>
      <w:pPr>
        <w:spacing w:before="120" w:after="320"/>
      </w:pPr>
      <w:r>
        <w:rPr>
          <w:b/>
          <w:color w:val="0E7490"/>
        </w:rPr>
        <w:t xml:space="preserve">➡️ Verbal Segue to Next Slide: </w:t>
      </w:r>
      <w:r>
        <w:rPr>
          <w:i/>
        </w:rPr>
        <w:t>"Let's look more closely at the specific technical failure modes that occurs when AI assets are modified without governance controls."</w:t>
      </w:r>
    </w:p>
    <w:p>
      <w:pPr>
        <w:spacing w:after="120"/>
      </w:pPr>
    </w:p>
    <w:p>
      <w:pPr>
        <w:spacing w:before="360" w:after="80"/>
      </w:pPr>
      <w:r>
        <w:rPr>
          <w:b/>
          <w:color w:val="0B0F17"/>
          <w:sz w:val="32"/>
        </w:rPr>
        <w:t>SLIDE 3: TECHNICAL RISKS OF UNGOVERNED AI REGISTRIES</w:t>
      </w:r>
    </w:p>
    <w:p>
      <w:pPr>
        <w:spacing w:after="160"/>
      </w:pPr>
      <w:r>
        <w:rPr>
          <w:b/>
          <w:color w:val="0E7490"/>
        </w:rPr>
        <w:t xml:space="preserve">📌 Visual Context: </w:t>
      </w:r>
      <w:r>
        <w:rPr>
          <w:i/>
          <w:color w:val="475569"/>
        </w:rPr>
        <w:t>Slide 3 shows a 2x2 grid detailing four technical risk vectors: Disjointed Entity Silos, Accountability Vacuum, Cascading Blast-Radius Blindness, and Unenforceable Governance Rules.</w:t>
      </w:r>
    </w:p>
    <w:p>
      <w:pPr>
        <w:spacing w:before="80" w:after="40"/>
      </w:pPr>
      <w:r>
        <w:rPr>
          <w:b/>
          <w:color w:val="0B0F17"/>
          <w:sz w:val="24"/>
        </w:rPr>
        <w:t>🎙️ Spoken Presenter Script:</w:t>
      </w:r>
    </w:p>
    <w:p>
      <w:pPr>
        <w:spacing w:after="120" w:line="276" w:lineRule="auto"/>
      </w:pPr>
      <w:r>
        <w:rPr>
          <w:color w:val="1E293B"/>
          <w:sz w:val="22"/>
        </w:rPr>
        <w:t>"Operating autonomous AI agents in enterprise production without relationship tracking exposes our architecture to four critical failure modes."</w:t>
      </w:r>
    </w:p>
    <w:p>
      <w:pPr>
        <w:spacing w:after="120" w:line="276" w:lineRule="auto"/>
      </w:pPr>
      <w:r>
        <w:rPr>
          <w:color w:val="1E293B"/>
          <w:sz w:val="22"/>
        </w:rPr>
        <w:t>"First: Disjointed Entity Silos. Static database rows cannot automatically verify which LLM model powers an agent or which data source a tool queries."</w:t>
      </w:r>
    </w:p>
    <w:p>
      <w:pPr>
        <w:spacing w:after="120" w:line="276" w:lineRule="auto"/>
      </w:pPr>
      <w:r>
        <w:rPr>
          <w:color w:val="1E293B"/>
          <w:sz w:val="22"/>
        </w:rPr>
        <w:t>"Second: Accountability Vacuum. When an agent breaches policy or fails, there is no structured schema to resolve who owns, reviews, or approves that target entity."</w:t>
      </w:r>
    </w:p>
    <w:p>
      <w:pPr>
        <w:spacing w:after="120" w:line="276" w:lineRule="auto"/>
      </w:pPr>
      <w:r>
        <w:rPr>
          <w:color w:val="1E293B"/>
          <w:sz w:val="22"/>
        </w:rPr>
        <w:t>"Third: Cascading Blast-Radius Blindness. Modifying a shared model can break downstream workflows because dependencies cannot be calculated dynamically."</w:t>
      </w:r>
    </w:p>
    <w:p>
      <w:pPr>
        <w:spacing w:after="120" w:line="276" w:lineRule="auto"/>
      </w:pPr>
      <w:r>
        <w:rPr>
          <w:color w:val="1E293B"/>
          <w:sz w:val="22"/>
        </w:rPr>
        <w:t>"Fourth: Unenforceable Governance Rules. Without pre-commit validation gates, invalid configurations—such as circular dependencies or cross-tenant links—reach production database storage."</w:t>
      </w:r>
    </w:p>
    <w:p>
      <w:pPr>
        <w:spacing w:before="120" w:after="40"/>
      </w:pPr>
      <w:r>
        <w:rPr>
          <w:b/>
          <w:color w:val="0E7490"/>
          <w:sz w:val="22"/>
        </w:rPr>
        <w:t>💡 Key Technical Talking Points &amp; Anticipated Q&amp;A:</w:t>
      </w:r>
    </w:p>
    <w:p>
      <w:pPr>
        <w:pStyle w:val="ListBullet"/>
        <w:spacing w:after="60"/>
      </w:pPr>
      <w:r>
        <w:rPr>
          <w:color w:val="1E293B"/>
          <w:sz w:val="20"/>
        </w:rPr>
        <w:t>Risk Mitigation Strategy: Every risk vector maps directly to a Phase 3 engineering control.</w:t>
      </w:r>
    </w:p>
    <w:p>
      <w:pPr>
        <w:pStyle w:val="ListBullet"/>
        <w:spacing w:after="60"/>
      </w:pPr>
      <w:r>
        <w:rPr>
          <w:color w:val="1E293B"/>
          <w:sz w:val="20"/>
        </w:rPr>
        <w:t>Siloed Silos ➔ Solved via directional graph lookups.</w:t>
      </w:r>
    </w:p>
    <w:p>
      <w:pPr>
        <w:pStyle w:val="ListBullet"/>
        <w:spacing w:after="60"/>
      </w:pPr>
      <w:r>
        <w:rPr>
          <w:color w:val="1E293B"/>
          <w:sz w:val="20"/>
        </w:rPr>
        <w:t>Accountability Vacuum ➔ Solved via ResponsibilityService single primary owner enforcement.</w:t>
      </w:r>
    </w:p>
    <w:p>
      <w:pPr>
        <w:pStyle w:val="ListBullet"/>
        <w:spacing w:after="60"/>
      </w:pPr>
      <w:r>
        <w:rPr>
          <w:color w:val="1E293B"/>
          <w:sz w:val="20"/>
        </w:rPr>
        <w:t>Blast Radius ➔ Solved via 1-5 hop graph traversal.</w:t>
      </w:r>
    </w:p>
    <w:p>
      <w:pPr>
        <w:pStyle w:val="ListBullet"/>
        <w:spacing w:after="60"/>
      </w:pPr>
      <w:r>
        <w:rPr>
          <w:color w:val="1E293B"/>
          <w:sz w:val="20"/>
        </w:rPr>
        <w:t>Unenforceable Rules ➔ Solved via 7-rule ValidationEngine.</w:t>
      </w:r>
    </w:p>
    <w:p>
      <w:pPr>
        <w:spacing w:before="120" w:after="320"/>
      </w:pPr>
      <w:r>
        <w:rPr>
          <w:b/>
          <w:color w:val="0E7490"/>
        </w:rPr>
        <w:t xml:space="preserve">➡️ Verbal Segue to Next Slide: </w:t>
      </w:r>
      <w:r>
        <w:rPr>
          <w:i/>
        </w:rPr>
        <w:t>"To resolve these risks, our team established four core engineering pillars for the Phase 3 release."</w:t>
      </w:r>
    </w:p>
    <w:p>
      <w:pPr>
        <w:spacing w:after="120"/>
      </w:pPr>
    </w:p>
    <w:p>
      <w:pPr>
        <w:spacing w:before="360" w:after="80"/>
      </w:pPr>
      <w:r>
        <w:rPr>
          <w:b/>
          <w:color w:val="0B0F17"/>
          <w:sz w:val="32"/>
        </w:rPr>
        <w:t>SLIDE 4: PHASE 3 TECHNICAL SCOPE &amp; CORE DELIVERABLES</w:t>
      </w:r>
    </w:p>
    <w:p>
      <w:pPr>
        <w:spacing w:after="160"/>
      </w:pPr>
      <w:r>
        <w:rPr>
          <w:b/>
          <w:color w:val="0E7490"/>
        </w:rPr>
        <w:t xml:space="preserve">📌 Visual Context: </w:t>
      </w:r>
      <w:r>
        <w:rPr>
          <w:i/>
          <w:color w:val="475569"/>
        </w:rPr>
        <w:t>Slide 4 displays four vertical pillar cards summarizing Semantic Ontology, Ownership Matrix, Governance Controls, and Visual Explorer UX.</w:t>
      </w:r>
    </w:p>
    <w:p>
      <w:pPr>
        <w:spacing w:before="80" w:after="40"/>
      </w:pPr>
      <w:r>
        <w:rPr>
          <w:b/>
          <w:color w:val="0B0F17"/>
          <w:sz w:val="24"/>
        </w:rPr>
        <w:t>🎙️ Spoken Presenter Script:</w:t>
      </w:r>
    </w:p>
    <w:p>
      <w:pPr>
        <w:spacing w:after="120" w:line="276" w:lineRule="auto"/>
      </w:pPr>
      <w:r>
        <w:rPr>
          <w:color w:val="1E293B"/>
          <w:sz w:val="22"/>
        </w:rPr>
        <w:t>"Our Phase 3 technical deliverables are structured into four core pillars:"</w:t>
      </w:r>
    </w:p>
    <w:p>
      <w:pPr>
        <w:spacing w:after="120" w:line="276" w:lineRule="auto"/>
      </w:pPr>
      <w:r>
        <w:rPr>
          <w:color w:val="1E293B"/>
          <w:sz w:val="22"/>
        </w:rPr>
        <w:t>"Pillar 01 is Semantic Ontology: We defined a standardized relationship architecture linking AI Models, Agents, Workflows, Tools, Data Sources, and Departments into a unified relational schema."</w:t>
      </w:r>
    </w:p>
    <w:p>
      <w:pPr>
        <w:spacing w:after="120" w:line="276" w:lineRule="auto"/>
      </w:pPr>
      <w:r>
        <w:rPr>
          <w:color w:val="1E293B"/>
          <w:sz w:val="22"/>
        </w:rPr>
        <w:t>"Pillar 02 is the Ownership Matrix: We implemented ResponsibilityService to enforce single primary owner assignments across four governance roles: Owner, Reviewer, Approver, and Auditor."</w:t>
      </w:r>
    </w:p>
    <w:p>
      <w:pPr>
        <w:spacing w:after="120" w:line="276" w:lineRule="auto"/>
      </w:pPr>
      <w:r>
        <w:rPr>
          <w:color w:val="1E293B"/>
          <w:sz w:val="22"/>
        </w:rPr>
        <w:t>"Pillar 03 is Governance Controls: We built ValidationEngine, a high-risk rule engine that screens every payload and enforces 7 mandatory runtime validation checks before database commit."</w:t>
      </w:r>
    </w:p>
    <w:p>
      <w:pPr>
        <w:spacing w:after="120" w:line="276" w:lineRule="auto"/>
      </w:pPr>
      <w:r>
        <w:rPr>
          <w:color w:val="1E293B"/>
          <w:sz w:val="22"/>
        </w:rPr>
        <w:t>"Pillar 04 is Visual Explorer UX: We delivered a React Flow visual graph explorer supporting dynamic 1 to 5 hop depth expansion and historical audit tabs."</w:t>
      </w:r>
    </w:p>
    <w:p>
      <w:pPr>
        <w:spacing w:before="120" w:after="40"/>
      </w:pPr>
      <w:r>
        <w:rPr>
          <w:b/>
          <w:color w:val="0E7490"/>
          <w:sz w:val="22"/>
        </w:rPr>
        <w:t>💡 Key Technical Talking Points &amp; Anticipated Q&amp;A:</w:t>
      </w:r>
    </w:p>
    <w:p>
      <w:pPr>
        <w:pStyle w:val="ListBullet"/>
        <w:spacing w:after="60"/>
      </w:pPr>
      <w:r>
        <w:rPr>
          <w:color w:val="1E293B"/>
          <w:sz w:val="20"/>
        </w:rPr>
        <w:t>Pillar 1 Data Model: generic_relationships with tenant_id, source_type, source_id, target_type, target_id.</w:t>
      </w:r>
    </w:p>
    <w:p>
      <w:pPr>
        <w:pStyle w:val="ListBullet"/>
        <w:spacing w:after="60"/>
      </w:pPr>
      <w:r>
        <w:rPr>
          <w:color w:val="1E293B"/>
          <w:sz w:val="20"/>
        </w:rPr>
        <w:t>Pillar 2 Service: ResponsibilityService enforcing single active P1 primary owner per entity.</w:t>
      </w:r>
    </w:p>
    <w:p>
      <w:pPr>
        <w:pStyle w:val="ListBullet"/>
        <w:spacing w:after="60"/>
      </w:pPr>
      <w:r>
        <w:rPr>
          <w:color w:val="1E293B"/>
          <w:sz w:val="20"/>
        </w:rPr>
        <w:t>Pillar 3 Engine: ValidationEngine validating tenant match, temporal bounds, and duplicate links.</w:t>
      </w:r>
    </w:p>
    <w:p>
      <w:pPr>
        <w:pStyle w:val="ListBullet"/>
        <w:spacing w:after="60"/>
      </w:pPr>
      <w:r>
        <w:rPr>
          <w:color w:val="1E293B"/>
          <w:sz w:val="20"/>
        </w:rPr>
        <w:t>Pillar 4 Frontend: React 18 + React Flow integrated at /relationships.</w:t>
      </w:r>
    </w:p>
    <w:p>
      <w:pPr>
        <w:spacing w:before="120" w:after="320"/>
      </w:pPr>
      <w:r>
        <w:rPr>
          <w:b/>
          <w:color w:val="0E7490"/>
        </w:rPr>
        <w:t xml:space="preserve">➡️ Verbal Segue to Next Slide: </w:t>
      </w:r>
      <w:r>
        <w:rPr>
          <w:i/>
        </w:rPr>
        <w:t>"Let's examine how these components are architected across our technical stack."</w:t>
      </w:r>
    </w:p>
    <w:p>
      <w:pPr>
        <w:spacing w:after="120"/>
      </w:pPr>
    </w:p>
    <w:p>
      <w:pPr>
        <w:spacing w:before="360" w:after="80"/>
      </w:pPr>
      <w:r>
        <w:rPr>
          <w:b/>
          <w:color w:val="0B0F17"/>
          <w:sz w:val="32"/>
        </w:rPr>
        <w:t>SLIDE 5: DECOUPLED 4-TIER SYSTEM ARCHITECTURE</w:t>
      </w:r>
    </w:p>
    <w:p>
      <w:pPr>
        <w:spacing w:after="160"/>
      </w:pPr>
      <w:r>
        <w:rPr>
          <w:b/>
          <w:color w:val="0E7490"/>
        </w:rPr>
        <w:t xml:space="preserve">📌 Visual Context: </w:t>
      </w:r>
      <w:r>
        <w:rPr>
          <w:i/>
          <w:color w:val="475569"/>
        </w:rPr>
        <w:t>Slide 5 displays a 4-tier horizontal stack diagram covering Presentation Layer, API Router Layer, Services &amp; Engine Layer, and Data &amp; Caching Layer.</w:t>
      </w:r>
    </w:p>
    <w:p>
      <w:pPr>
        <w:spacing w:before="80" w:after="40"/>
      </w:pPr>
      <w:r>
        <w:rPr>
          <w:b/>
          <w:color w:val="0B0F17"/>
          <w:sz w:val="24"/>
        </w:rPr>
        <w:t>🎙️ Spoken Presenter Script:</w:t>
      </w:r>
    </w:p>
    <w:p>
      <w:pPr>
        <w:spacing w:after="120" w:line="276" w:lineRule="auto"/>
      </w:pPr>
      <w:r>
        <w:rPr>
          <w:color w:val="1E293B"/>
          <w:sz w:val="22"/>
        </w:rPr>
        <w:t>"Our system architecture is organized into four clean, decoupled tiers to ensure high throughput and minimal latency impact on core request paths."</w:t>
      </w:r>
    </w:p>
    <w:p>
      <w:pPr>
        <w:spacing w:after="120" w:line="276" w:lineRule="auto"/>
      </w:pPr>
      <w:r>
        <w:rPr>
          <w:color w:val="1E293B"/>
          <w:sz w:val="22"/>
        </w:rPr>
        <w:t>"At Tier 1, the Presentation Layer uses React 18, TypeScript, and React Flow to render interactive visual graphs and detail workspace modals."</w:t>
      </w:r>
    </w:p>
    <w:p>
      <w:pPr>
        <w:spacing w:after="120" w:line="276" w:lineRule="auto"/>
      </w:pPr>
      <w:r>
        <w:rPr>
          <w:color w:val="1E293B"/>
          <w:sz w:val="22"/>
        </w:rPr>
        <w:t>"At Tier 2, the API Router Layer leverages FastAPI to expose standardized endpoints under /api/registry/relationships, including pre-flight dry-run and recursive graph routes."</w:t>
      </w:r>
    </w:p>
    <w:p>
      <w:pPr>
        <w:spacing w:after="120" w:line="276" w:lineRule="auto"/>
      </w:pPr>
      <w:r>
        <w:rPr>
          <w:color w:val="1E293B"/>
          <w:sz w:val="22"/>
        </w:rPr>
        <w:t>"At Tier 3, the Services &amp; Engine Layer houses RelationshipService for lifecycle state management, ResponsibilityService for ownership resolution, and ValidationEngine for 7-rule payload screening."</w:t>
      </w:r>
    </w:p>
    <w:p>
      <w:pPr>
        <w:spacing w:after="120" w:line="276" w:lineRule="auto"/>
      </w:pPr>
      <w:r>
        <w:rPr>
          <w:color w:val="1E293B"/>
          <w:sz w:val="22"/>
        </w:rPr>
        <w:t>"At Tier 4, the Data &amp; Caching Layer relies on PostgreSQL consolidated tables with strict UUID tenant foreign keys, composite indexes, and an in-memory LRU cache that serves recursive queries in under 5 milliseconds."</w:t>
      </w:r>
    </w:p>
    <w:p>
      <w:pPr>
        <w:spacing w:before="120" w:after="40"/>
      </w:pPr>
      <w:r>
        <w:rPr>
          <w:b/>
          <w:color w:val="0E7490"/>
          <w:sz w:val="22"/>
        </w:rPr>
        <w:t>💡 Key Technical Talking Points &amp; Anticipated Q&amp;A:</w:t>
      </w:r>
    </w:p>
    <w:p>
      <w:pPr>
        <w:pStyle w:val="ListBullet"/>
        <w:spacing w:after="60"/>
      </w:pPr>
      <w:r>
        <w:rPr>
          <w:color w:val="1E293B"/>
          <w:sz w:val="20"/>
        </w:rPr>
        <w:t>API Prefix: /api/registry/relationships/*</w:t>
      </w:r>
    </w:p>
    <w:p>
      <w:pPr>
        <w:pStyle w:val="ListBullet"/>
        <w:spacing w:after="60"/>
      </w:pPr>
      <w:r>
        <w:rPr>
          <w:color w:val="1E293B"/>
          <w:sz w:val="20"/>
        </w:rPr>
        <w:t>Key Endpoints: POST /validate/dry-run, GET /timeline/{object_type}/{object_id}, POST /impact-analysis.</w:t>
      </w:r>
    </w:p>
    <w:p>
      <w:pPr>
        <w:pStyle w:val="ListBullet"/>
        <w:spacing w:after="60"/>
      </w:pPr>
      <w:r>
        <w:rPr>
          <w:color w:val="1E293B"/>
          <w:sz w:val="20"/>
        </w:rPr>
        <w:t>Database Schema: PostgreSQL mixins with UUID tenant_id referencing users.id.</w:t>
      </w:r>
    </w:p>
    <w:p>
      <w:pPr>
        <w:pStyle w:val="ListBullet"/>
        <w:spacing w:after="60"/>
      </w:pPr>
      <w:r>
        <w:rPr>
          <w:color w:val="1E293B"/>
          <w:sz w:val="20"/>
        </w:rPr>
        <w:t>Cache Strategy: FastAPI in-memory LRU cache with automatic invalidation on relationship mutations.</w:t>
      </w:r>
    </w:p>
    <w:p>
      <w:pPr>
        <w:spacing w:before="120" w:after="320"/>
      </w:pPr>
      <w:r>
        <w:rPr>
          <w:b/>
          <w:color w:val="0E7490"/>
        </w:rPr>
        <w:t xml:space="preserve">➡️ Verbal Segue to Next Slide: </w:t>
      </w:r>
      <w:r>
        <w:rPr>
          <w:i/>
        </w:rPr>
        <w:t>"Now, let's look at the actual user interface, starting with the interactive Relationship Explorer."</w:t>
      </w:r>
    </w:p>
    <w:p>
      <w:pPr>
        <w:spacing w:after="120"/>
      </w:pPr>
    </w:p>
    <w:p>
      <w:pPr>
        <w:spacing w:before="360" w:after="80"/>
      </w:pPr>
      <w:r>
        <w:rPr>
          <w:b/>
          <w:color w:val="0B0F17"/>
          <w:sz w:val="32"/>
        </w:rPr>
        <w:t>SLIDE 6: PRODUCT UI: INTERACTIVE RELATIONSHIP EXPLORER</w:t>
      </w:r>
    </w:p>
    <w:p>
      <w:pPr>
        <w:spacing w:after="160"/>
      </w:pPr>
      <w:r>
        <w:rPr>
          <w:b/>
          <w:color w:val="0E7490"/>
        </w:rPr>
        <w:t xml:space="preserve">📌 Visual Context: </w:t>
      </w:r>
      <w:r>
        <w:rPr>
          <w:i/>
          <w:color w:val="475569"/>
        </w:rPr>
        <w:t>Slide 6 presents a high-fidelity screen mockup of the Registry Relationships Page (/relationships) with callouts for the React Flow Canvas, 1-5 Hop Depth Slider, Category Filters, and Impact Analysis Tab.</w:t>
      </w:r>
    </w:p>
    <w:p>
      <w:pPr>
        <w:spacing w:before="80" w:after="40"/>
      </w:pPr>
      <w:r>
        <w:rPr>
          <w:b/>
          <w:color w:val="0B0F17"/>
          <w:sz w:val="24"/>
        </w:rPr>
        <w:t>🎙️ Spoken Presenter Script:</w:t>
      </w:r>
    </w:p>
    <w:p>
      <w:pPr>
        <w:spacing w:after="120" w:line="276" w:lineRule="auto"/>
      </w:pPr>
      <w:r>
        <w:rPr>
          <w:color w:val="1E293B"/>
          <w:sz w:val="22"/>
        </w:rPr>
        <w:t>"This slide showcases the live Relationship Explorer interface at /relationships. Instead of requiring developers to write complex SQL joins, operators interact with a dynamic visual canvas built on React Flow."</w:t>
      </w:r>
    </w:p>
    <w:p>
      <w:pPr>
        <w:spacing w:after="120" w:line="276" w:lineRule="auto"/>
      </w:pPr>
      <w:r>
        <w:rPr>
          <w:color w:val="1E293B"/>
          <w:sz w:val="22"/>
        </w:rPr>
        <w:t>"In the center, you see directional entity nodes—for example, the Autonomous Fraud Sentinel agent connected to the GPT-4o Fraud Analyzer model and downstream Payment Freeze workflow."</w:t>
      </w:r>
    </w:p>
    <w:p>
      <w:pPr>
        <w:spacing w:after="120" w:line="276" w:lineRule="auto"/>
      </w:pPr>
      <w:r>
        <w:rPr>
          <w:color w:val="1E293B"/>
          <w:sz w:val="22"/>
        </w:rPr>
        <w:t>"At the top, operators can filter by asset category or adjust the Depth Control Slider from 1 Hop to 5 Hops. As you move the slider, the graph dynamically traverses multi-hop transitive dependencies in real time."</w:t>
      </w:r>
    </w:p>
    <w:p>
      <w:pPr>
        <w:spacing w:after="120" w:line="276" w:lineRule="auto"/>
      </w:pPr>
      <w:r>
        <w:rPr>
          <w:color w:val="1E293B"/>
          <w:sz w:val="22"/>
        </w:rPr>
        <w:t>"Operators can also switch to the Impact Analysis tab to view a structured risk breakdown prior to executing system changes."</w:t>
      </w:r>
    </w:p>
    <w:p>
      <w:pPr>
        <w:spacing w:before="120" w:after="40"/>
      </w:pPr>
      <w:r>
        <w:rPr>
          <w:b/>
          <w:color w:val="0E7490"/>
          <w:sz w:val="22"/>
        </w:rPr>
        <w:t>💡 Key Technical Talking Points &amp; Anticipated Q&amp;A:</w:t>
      </w:r>
    </w:p>
    <w:p>
      <w:pPr>
        <w:pStyle w:val="ListBullet"/>
        <w:spacing w:after="60"/>
      </w:pPr>
      <w:r>
        <w:rPr>
          <w:color w:val="1E293B"/>
          <w:sz w:val="20"/>
        </w:rPr>
        <w:t>Route: /relationships in frontend React application.</w:t>
      </w:r>
    </w:p>
    <w:p>
      <w:pPr>
        <w:pStyle w:val="ListBullet"/>
        <w:spacing w:after="60"/>
      </w:pPr>
      <w:r>
        <w:rPr>
          <w:color w:val="1E293B"/>
          <w:sz w:val="20"/>
        </w:rPr>
        <w:t>Technology: React Flow v11 with custom color-coded node types and directional SVG edge chevrons.</w:t>
      </w:r>
    </w:p>
    <w:p>
      <w:pPr>
        <w:pStyle w:val="ListBullet"/>
        <w:spacing w:after="60"/>
      </w:pPr>
      <w:r>
        <w:rPr>
          <w:color w:val="1E293B"/>
          <w:sz w:val="20"/>
        </w:rPr>
        <w:t>Depth Selector Range: 1 Hop (Direct connections) to 5 Hops (Extended transitive chains).</w:t>
      </w:r>
    </w:p>
    <w:p>
      <w:pPr>
        <w:pStyle w:val="ListBullet"/>
        <w:spacing w:after="60"/>
      </w:pPr>
      <w:r>
        <w:rPr>
          <w:color w:val="1E293B"/>
          <w:sz w:val="20"/>
        </w:rPr>
        <w:t>Performance: Renders graph layouts smoothly without DOM freezing.</w:t>
      </w:r>
    </w:p>
    <w:p>
      <w:pPr>
        <w:spacing w:before="120" w:after="320"/>
      </w:pPr>
      <w:r>
        <w:rPr>
          <w:b/>
          <w:color w:val="0E7490"/>
        </w:rPr>
        <w:t xml:space="preserve">➡️ Verbal Segue to Next Slide: </w:t>
      </w:r>
      <w:r>
        <w:rPr>
          <w:i/>
        </w:rPr>
        <w:t>"Next, let's explore how entity ownership and governance roles are assigned within asset detail modals."</w:t>
      </w:r>
    </w:p>
    <w:p>
      <w:pPr>
        <w:spacing w:after="120"/>
      </w:pPr>
    </w:p>
    <w:p>
      <w:pPr>
        <w:spacing w:before="360" w:after="80"/>
      </w:pPr>
      <w:r>
        <w:rPr>
          <w:b/>
          <w:color w:val="0B0F17"/>
          <w:sz w:val="32"/>
        </w:rPr>
        <w:t>SLIDE 7: PRODUCT UI: OWNERSHIP &amp; RESPONSIBILITY WORKSPACE</w:t>
      </w:r>
    </w:p>
    <w:p>
      <w:pPr>
        <w:spacing w:after="160"/>
      </w:pPr>
      <w:r>
        <w:rPr>
          <w:b/>
          <w:color w:val="0E7490"/>
        </w:rPr>
        <w:t xml:space="preserve">📌 Visual Context: </w:t>
      </w:r>
      <w:r>
        <w:rPr>
          <w:i/>
          <w:color w:val="475569"/>
        </w:rPr>
        <w:t>Slide 7 displays the Entity Detail Modal Responsibility Tab mockup, highlighting the Governance Table, Primary Owner (P1) badge, + Assign Responsibility trigger, and automated revocation alert.</w:t>
      </w:r>
    </w:p>
    <w:p>
      <w:pPr>
        <w:spacing w:before="80" w:after="40"/>
      </w:pPr>
      <w:r>
        <w:rPr>
          <w:b/>
          <w:color w:val="0B0F17"/>
          <w:sz w:val="24"/>
        </w:rPr>
        <w:t>🎙️ Spoken Presenter Script:</w:t>
      </w:r>
    </w:p>
    <w:p>
      <w:pPr>
        <w:spacing w:after="120" w:line="276" w:lineRule="auto"/>
      </w:pPr>
      <w:r>
        <w:rPr>
          <w:color w:val="1E293B"/>
          <w:sz w:val="22"/>
        </w:rPr>
        <w:t>"Here we see the Responsibility Workspace embedded inside asset detail modals across Agents, Models, Workflows, and Tools."</w:t>
      </w:r>
    </w:p>
    <w:p>
      <w:pPr>
        <w:spacing w:after="120" w:line="276" w:lineRule="auto"/>
      </w:pPr>
      <w:r>
        <w:rPr>
          <w:color w:val="1E293B"/>
          <w:sz w:val="22"/>
        </w:rPr>
        <w:t>"The table displays assigned governance actors across four distinct RACIA roles: Owner, Reviewer, Approver, and Auditor. Notice the P1 badge highlighting Elena Rodriguez as the active primary owner."</w:t>
      </w:r>
    </w:p>
    <w:p>
      <w:pPr>
        <w:spacing w:after="120" w:line="276" w:lineRule="auto"/>
      </w:pPr>
      <w:r>
        <w:rPr>
          <w:color w:val="1E293B"/>
          <w:sz w:val="22"/>
        </w:rPr>
        <w:t>"When an operator clicks '+ Assign Responsibility' to transfer primary ownership to a new team member, the system invokes ResponsibilityService in the backend."</w:t>
      </w:r>
    </w:p>
    <w:p>
      <w:pPr>
        <w:spacing w:after="120" w:line="276" w:lineRule="auto"/>
      </w:pPr>
      <w:r>
        <w:rPr>
          <w:color w:val="1E293B"/>
          <w:sz w:val="22"/>
        </w:rPr>
        <w:t>"ResponsibilityService executes an atomic database transaction that assigns the new primary owner while automatically revoking the legacy primary owner. This guarantees that no entity ever has multiple active primary owners or zero ownership."</w:t>
      </w:r>
    </w:p>
    <w:p>
      <w:pPr>
        <w:spacing w:before="120" w:after="40"/>
      </w:pPr>
      <w:r>
        <w:rPr>
          <w:b/>
          <w:color w:val="0E7490"/>
          <w:sz w:val="22"/>
        </w:rPr>
        <w:t>💡 Key Technical Talking Points &amp; Anticipated Q&amp;A:</w:t>
      </w:r>
    </w:p>
    <w:p>
      <w:pPr>
        <w:pStyle w:val="ListBullet"/>
        <w:spacing w:after="60"/>
      </w:pPr>
      <w:r>
        <w:rPr>
          <w:color w:val="1E293B"/>
          <w:sz w:val="20"/>
        </w:rPr>
        <w:t>Governance Roles: OWNER (Primary P1), REVIEWER, APPROVER, AUDITOR.</w:t>
      </w:r>
    </w:p>
    <w:p>
      <w:pPr>
        <w:pStyle w:val="ListBullet"/>
        <w:spacing w:after="60"/>
      </w:pPr>
      <w:r>
        <w:rPr>
          <w:color w:val="1E293B"/>
          <w:sz w:val="20"/>
        </w:rPr>
        <w:t>Atomic Behavior: Re-assigning P1 invokes an atomic DB transaction with automatic rollback if any step fails.</w:t>
      </w:r>
    </w:p>
    <w:p>
      <w:pPr>
        <w:pStyle w:val="ListBullet"/>
        <w:spacing w:after="60"/>
      </w:pPr>
      <w:r>
        <w:rPr>
          <w:color w:val="1E293B"/>
          <w:sz w:val="20"/>
        </w:rPr>
        <w:t>Audit Trail: Responsibility changes emit structured audit events to GovernanceEventService.</w:t>
      </w:r>
    </w:p>
    <w:p>
      <w:pPr>
        <w:spacing w:before="120" w:after="320"/>
      </w:pPr>
      <w:r>
        <w:rPr>
          <w:b/>
          <w:color w:val="0E7490"/>
        </w:rPr>
        <w:t xml:space="preserve">➡️ Verbal Segue to Next Slide: </w:t>
      </w:r>
      <w:r>
        <w:rPr>
          <w:i/>
        </w:rPr>
        <w:t>"Now let's examine how our Validation Engine intercepts non-compliant link creations in real time."</w:t>
      </w:r>
    </w:p>
    <w:p>
      <w:pPr>
        <w:spacing w:after="120"/>
      </w:pPr>
    </w:p>
    <w:p>
      <w:pPr>
        <w:spacing w:before="360" w:after="80"/>
      </w:pPr>
      <w:r>
        <w:rPr>
          <w:b/>
          <w:color w:val="0B0F17"/>
          <w:sz w:val="32"/>
        </w:rPr>
        <w:t>SLIDE 8: PRODUCT UI: VALIDATION CONTROLS &amp; INTERCEPTION DIALOG</w:t>
      </w:r>
    </w:p>
    <w:p>
      <w:pPr>
        <w:spacing w:after="160"/>
      </w:pPr>
      <w:r>
        <w:rPr>
          <w:b/>
          <w:color w:val="0E7490"/>
        </w:rPr>
        <w:t xml:space="preserve">📌 Visual Context: </w:t>
      </w:r>
      <w:r>
        <w:rPr>
          <w:i/>
          <w:color w:val="475569"/>
        </w:rPr>
        <w:t>Slide 8 shows the Connection Wizard &amp; Validation Error Dialog mockup, illustrating dark datetime presets, traffic-light rule status tags, hard commit block alerts, and diagnostic error output.</w:t>
      </w:r>
    </w:p>
    <w:p>
      <w:pPr>
        <w:spacing w:before="80" w:after="40"/>
      </w:pPr>
      <w:r>
        <w:rPr>
          <w:b/>
          <w:color w:val="0B0F17"/>
          <w:sz w:val="24"/>
        </w:rPr>
        <w:t>🎙️ Spoken Presenter Script:</w:t>
      </w:r>
    </w:p>
    <w:p>
      <w:pPr>
        <w:spacing w:after="120" w:line="276" w:lineRule="auto"/>
      </w:pPr>
      <w:r>
        <w:rPr>
          <w:color w:val="1E293B"/>
          <w:sz w:val="22"/>
        </w:rPr>
        <w:t>"This screen demonstrates our 7-Rule Validation Engine in action during pre-flight payload screening."</w:t>
      </w:r>
    </w:p>
    <w:p>
      <w:pPr>
        <w:spacing w:after="120" w:line="276" w:lineRule="auto"/>
      </w:pPr>
      <w:r>
        <w:rPr>
          <w:color w:val="1E293B"/>
          <w:sz w:val="22"/>
        </w:rPr>
        <w:t>"When an operator attempts to create a connection—such as linking an LLM model to an external ledger—the modal provides dark datetime pickers with quick preset buttons (+30 Days, +90 Days, +1 Year, Set Now)."</w:t>
      </w:r>
    </w:p>
    <w:p>
      <w:pPr>
        <w:spacing w:after="120" w:line="276" w:lineRule="auto"/>
      </w:pPr>
      <w:r>
        <w:rPr>
          <w:color w:val="1E293B"/>
          <w:sz w:val="22"/>
        </w:rPr>
        <w:t>"Before the write is committed to PostgreSQL, the payload is screened against our 7 mandatory validation rules."</w:t>
      </w:r>
    </w:p>
    <w:p>
      <w:pPr>
        <w:spacing w:after="120" w:line="276" w:lineRule="auto"/>
      </w:pPr>
      <w:r>
        <w:rPr>
          <w:color w:val="1E293B"/>
          <w:sz w:val="22"/>
        </w:rPr>
        <w:t>"In this example, Rule 3 detects a cross-tenant boundary mismatch. The UI immediately displays a prominent red alert banner, returns an HTTP 422 error, blocks the database commit, and outputs clear diagnostic instructions explaining why the connection was rejected."</w:t>
      </w:r>
    </w:p>
    <w:p>
      <w:pPr>
        <w:spacing w:before="120" w:after="40"/>
      </w:pPr>
      <w:r>
        <w:rPr>
          <w:b/>
          <w:color w:val="0E7490"/>
          <w:sz w:val="22"/>
        </w:rPr>
        <w:t>💡 Key Technical Talking Points &amp; Anticipated Q&amp;A:</w:t>
      </w:r>
    </w:p>
    <w:p>
      <w:pPr>
        <w:pStyle w:val="ListBullet"/>
        <w:spacing w:after="60"/>
      </w:pPr>
      <w:r>
        <w:rPr>
          <w:color w:val="1E293B"/>
          <w:sz w:val="20"/>
        </w:rPr>
        <w:t>7 Rules Enforced: 1&amp;2 Source/Target Exists, 3 Tenant Match, 4 Duplicate Block, 5 Temporal Bounds, 6 State Transitions, 7 Primary Owner Required.</w:t>
      </w:r>
    </w:p>
    <w:p>
      <w:pPr>
        <w:pStyle w:val="ListBullet"/>
        <w:spacing w:after="60"/>
      </w:pPr>
      <w:r>
        <w:rPr>
          <w:color w:val="1E293B"/>
          <w:sz w:val="20"/>
        </w:rPr>
        <w:t>Endpoint Called: POST /api/registry/relationships/validate/dry-run.</w:t>
      </w:r>
    </w:p>
    <w:p>
      <w:pPr>
        <w:pStyle w:val="ListBullet"/>
        <w:spacing w:after="60"/>
      </w:pPr>
      <w:r>
        <w:rPr>
          <w:color w:val="1E293B"/>
          <w:sz w:val="20"/>
        </w:rPr>
        <w:t>Error Code: HTTP 422 Unprocessable Entity with detailed JSON diagnostic payload.</w:t>
      </w:r>
    </w:p>
    <w:p>
      <w:pPr>
        <w:spacing w:before="120" w:after="320"/>
      </w:pPr>
      <w:r>
        <w:rPr>
          <w:b/>
          <w:color w:val="0E7490"/>
        </w:rPr>
        <w:t xml:space="preserve">➡️ Verbal Segue to Next Slide: </w:t>
      </w:r>
      <w:r>
        <w:rPr>
          <w:i/>
        </w:rPr>
        <w:t>"Let's look at how operators evaluate change impact and review historical entity modifications."</w:t>
      </w:r>
    </w:p>
    <w:p>
      <w:pPr>
        <w:spacing w:after="120"/>
      </w:pPr>
    </w:p>
    <w:p>
      <w:pPr>
        <w:spacing w:before="360" w:after="80"/>
      </w:pPr>
      <w:r>
        <w:rPr>
          <w:b/>
          <w:color w:val="0B0F17"/>
          <w:sz w:val="32"/>
        </w:rPr>
        <w:t>SLIDE 9: PRODUCT UI: BLAST RADIUS &amp; AUDIT TIMELINE VIEW</w:t>
      </w:r>
    </w:p>
    <w:p>
      <w:pPr>
        <w:spacing w:after="160"/>
      </w:pPr>
      <w:r>
        <w:rPr>
          <w:b/>
          <w:color w:val="0E7490"/>
        </w:rPr>
        <w:t xml:space="preserve">📌 Visual Context: </w:t>
      </w:r>
      <w:r>
        <w:rPr>
          <w:i/>
          <w:color w:val="475569"/>
        </w:rPr>
        <w:t>Slide 9 displays the Impact Analysis Dashboard and Timeline Drawer UI mockup, featuring the Executive Risk Meter, affected asset counters, chronological event logs, and JSON state diffs.</w:t>
      </w:r>
    </w:p>
    <w:p>
      <w:pPr>
        <w:spacing w:before="80" w:after="40"/>
      </w:pPr>
      <w:r>
        <w:rPr>
          <w:b/>
          <w:color w:val="0B0F17"/>
          <w:sz w:val="24"/>
        </w:rPr>
        <w:t>🎙️ Spoken Presenter Script:</w:t>
      </w:r>
    </w:p>
    <w:p>
      <w:pPr>
        <w:spacing w:after="120" w:line="276" w:lineRule="auto"/>
      </w:pPr>
      <w:r>
        <w:rPr>
          <w:color w:val="1E293B"/>
          <w:sz w:val="22"/>
        </w:rPr>
        <w:t>"This slide illustrates our Impact Analysis dashboard alongside the slide-out Audit Timeline drawer."</w:t>
      </w:r>
    </w:p>
    <w:p>
      <w:pPr>
        <w:spacing w:after="120" w:line="276" w:lineRule="auto"/>
      </w:pPr>
      <w:r>
        <w:rPr>
          <w:color w:val="1E293B"/>
          <w:sz w:val="22"/>
        </w:rPr>
        <w:t>"When an operator initiates a decommission request—such as revoking an LLM model—the Impact Dashboard calculates downstream dependencies and displays an Executive Risk Meter."</w:t>
      </w:r>
    </w:p>
    <w:p>
      <w:pPr>
        <w:spacing w:after="120" w:line="276" w:lineRule="auto"/>
      </w:pPr>
      <w:r>
        <w:rPr>
          <w:color w:val="1E293B"/>
          <w:sz w:val="22"/>
        </w:rPr>
        <w:t>"Here, the system flags the operation as HIGH RISK, detailing that 1 direct agent, 3 transitive hops, and 2 workflows will be impacted."</w:t>
      </w:r>
    </w:p>
    <w:p>
      <w:pPr>
        <w:spacing w:after="120" w:line="276" w:lineRule="auto"/>
      </w:pPr>
      <w:r>
        <w:rPr>
          <w:color w:val="1E293B"/>
          <w:sz w:val="22"/>
        </w:rPr>
        <w:t>"On the right, opening the Timeline drawer calls our timeline API, rendering a chronological event history from creation to owner assignment. Clicking an entry expands full before-and-after JSON state diffs for complete auditability."</w:t>
      </w:r>
    </w:p>
    <w:p>
      <w:pPr>
        <w:spacing w:before="120" w:after="40"/>
      </w:pPr>
      <w:r>
        <w:rPr>
          <w:b/>
          <w:color w:val="0E7490"/>
          <w:sz w:val="22"/>
        </w:rPr>
        <w:t>💡 Key Technical Talking Points &amp; Anticipated Q&amp;A:</w:t>
      </w:r>
    </w:p>
    <w:p>
      <w:pPr>
        <w:pStyle w:val="ListBullet"/>
        <w:spacing w:after="60"/>
      </w:pPr>
      <w:r>
        <w:rPr>
          <w:color w:val="1E293B"/>
          <w:sz w:val="20"/>
        </w:rPr>
        <w:t>Impact Calculation: Traverses graph recursively to count direct and transitive dependents.</w:t>
      </w:r>
    </w:p>
    <w:p>
      <w:pPr>
        <w:pStyle w:val="ListBullet"/>
        <w:spacing w:after="60"/>
      </w:pPr>
      <w:r>
        <w:rPr>
          <w:color w:val="1E293B"/>
          <w:sz w:val="20"/>
        </w:rPr>
        <w:t>Timeline Route: GET /api/registry/relationships/timeline/{object_type}/{object_id}.</w:t>
      </w:r>
    </w:p>
    <w:p>
      <w:pPr>
        <w:pStyle w:val="ListBullet"/>
        <w:spacing w:after="60"/>
      </w:pPr>
      <w:r>
        <w:rPr>
          <w:color w:val="1E293B"/>
          <w:sz w:val="20"/>
        </w:rPr>
        <w:t>State Diffs: Captures JSON snapshots of created_at, created_by, status, and attribute modifications.</w:t>
      </w:r>
    </w:p>
    <w:p>
      <w:pPr>
        <w:spacing w:before="120" w:after="320"/>
      </w:pPr>
      <w:r>
        <w:rPr>
          <w:b/>
          <w:color w:val="0E7490"/>
        </w:rPr>
        <w:t xml:space="preserve">➡️ Verbal Segue to Next Slide: </w:t>
      </w:r>
      <w:r>
        <w:rPr>
          <w:i/>
        </w:rPr>
        <w:t>"To see how all these components function together, let's walk through an end-to-end operational scenario."</w:t>
      </w:r>
    </w:p>
    <w:p>
      <w:pPr>
        <w:spacing w:after="120"/>
      </w:pPr>
    </w:p>
    <w:p>
      <w:pPr>
        <w:spacing w:before="360" w:after="80"/>
      </w:pPr>
      <w:r>
        <w:rPr>
          <w:b/>
          <w:color w:val="0B0F17"/>
          <w:sz w:val="32"/>
        </w:rPr>
        <w:t>SLIDE 10: TECHNICAL SCENARIO: FRAUD SENTINEL DECOMMISSION</w:t>
      </w:r>
    </w:p>
    <w:p>
      <w:pPr>
        <w:spacing w:after="160"/>
      </w:pPr>
      <w:r>
        <w:rPr>
          <w:b/>
          <w:color w:val="0E7490"/>
        </w:rPr>
        <w:t xml:space="preserve">📌 Visual Context: </w:t>
      </w:r>
      <w:r>
        <w:rPr>
          <w:i/>
          <w:color w:val="475569"/>
        </w:rPr>
        <w:t>Slide 10 presents a 4-step horizontal stepper sequence walking through an actual model decommission attempt on the GPT-4o Fraud Analyzer.</w:t>
      </w:r>
    </w:p>
    <w:p>
      <w:pPr>
        <w:spacing w:before="80" w:after="40"/>
      </w:pPr>
      <w:r>
        <w:rPr>
          <w:b/>
          <w:color w:val="0B0F17"/>
          <w:sz w:val="24"/>
        </w:rPr>
        <w:t>🎙️ Spoken Presenter Script:</w:t>
      </w:r>
    </w:p>
    <w:p>
      <w:pPr>
        <w:spacing w:after="120" w:line="276" w:lineRule="auto"/>
      </w:pPr>
      <w:r>
        <w:rPr>
          <w:color w:val="1E293B"/>
          <w:sz w:val="22"/>
        </w:rPr>
        <w:t>"Let's observe a real-world enterprise scenario: An operator attempts to decommission the GPT-4o Fraud Analyzer model in the Registry."</w:t>
      </w:r>
    </w:p>
    <w:p>
      <w:pPr>
        <w:spacing w:after="120" w:line="276" w:lineRule="auto"/>
      </w:pPr>
      <w:r>
        <w:rPr>
          <w:color w:val="1E293B"/>
          <w:sz w:val="22"/>
        </w:rPr>
        <w:t>"In Step 1, the operator submits a REVOKE request."</w:t>
      </w:r>
    </w:p>
    <w:p>
      <w:pPr>
        <w:spacing w:after="120" w:line="276" w:lineRule="auto"/>
      </w:pPr>
      <w:r>
        <w:rPr>
          <w:color w:val="1E293B"/>
          <w:sz w:val="22"/>
        </w:rPr>
        <w:t>"In Step 2, the ValidationEngine triggers a 5-hop graph traversal to map downstream dependencies."</w:t>
      </w:r>
    </w:p>
    <w:p>
      <w:pPr>
        <w:spacing w:after="120" w:line="276" w:lineRule="auto"/>
      </w:pPr>
      <w:r>
        <w:rPr>
          <w:color w:val="1E293B"/>
          <w:sz w:val="22"/>
        </w:rPr>
        <w:t>"In Step 3, the Impact Dashboard evaluates the traversal data and flags the action as HIGH RISK: 1 direct agent (Autonomous Fraud Sentinel) and 3 transitive workflow hops rely on this model."</w:t>
      </w:r>
    </w:p>
    <w:p>
      <w:pPr>
        <w:spacing w:after="120" w:line="276" w:lineRule="auto"/>
      </w:pPr>
      <w:r>
        <w:rPr>
          <w:color w:val="1E293B"/>
          <w:sz w:val="22"/>
        </w:rPr>
        <w:t>"In Step 4, the automated control gate intercepts the revocation, blocks the database update, and routes an approval escalation directly to Primary Owner Elena Rodriguez. The fraud sentinel agent remains active and uninterrupted."</w:t>
      </w:r>
    </w:p>
    <w:p>
      <w:pPr>
        <w:spacing w:before="120" w:after="40"/>
      </w:pPr>
      <w:r>
        <w:rPr>
          <w:b/>
          <w:color w:val="0E7490"/>
          <w:sz w:val="22"/>
        </w:rPr>
        <w:t>💡 Key Technical Talking Points &amp; Anticipated Q&amp;A:</w:t>
      </w:r>
    </w:p>
    <w:p>
      <w:pPr>
        <w:pStyle w:val="ListBullet"/>
        <w:spacing w:after="60"/>
      </w:pPr>
      <w:r>
        <w:rPr>
          <w:color w:val="1E293B"/>
          <w:sz w:val="20"/>
        </w:rPr>
        <w:t>Trigger Entity: GPT-4o Fraud Analyzer (AI Model).</w:t>
      </w:r>
    </w:p>
    <w:p>
      <w:pPr>
        <w:pStyle w:val="ListBullet"/>
        <w:spacing w:after="60"/>
      </w:pPr>
      <w:r>
        <w:rPr>
          <w:color w:val="1E293B"/>
          <w:sz w:val="20"/>
        </w:rPr>
        <w:t>Dependent Entity: Autonomous Fraud Sentinel (AI Agent).</w:t>
      </w:r>
    </w:p>
    <w:p>
      <w:pPr>
        <w:pStyle w:val="ListBullet"/>
        <w:spacing w:after="60"/>
      </w:pPr>
      <w:r>
        <w:rPr>
          <w:color w:val="1E293B"/>
          <w:sz w:val="20"/>
        </w:rPr>
        <w:t>Control Outcome: Unauthorized revocation blocked; escalation routed to Primary Owner.</w:t>
      </w:r>
    </w:p>
    <w:p>
      <w:pPr>
        <w:pStyle w:val="ListBullet"/>
        <w:spacing w:after="60"/>
      </w:pPr>
      <w:r>
        <w:rPr>
          <w:color w:val="1E293B"/>
          <w:sz w:val="20"/>
        </w:rPr>
        <w:t>Business Benefit: Prevents accidental decommissioning of active financial fraud detection systems.</w:t>
      </w:r>
    </w:p>
    <w:p>
      <w:pPr>
        <w:spacing w:before="120" w:after="320"/>
      </w:pPr>
      <w:r>
        <w:rPr>
          <w:b/>
          <w:color w:val="0E7490"/>
        </w:rPr>
        <w:t xml:space="preserve">➡️ Verbal Segue to Next Slide: </w:t>
      </w:r>
      <w:r>
        <w:rPr>
          <w:i/>
        </w:rPr>
        <w:t>"Next, let's review the empirical QA test results and performance benchmarks that validate this release candidate."</w:t>
      </w:r>
    </w:p>
    <w:p>
      <w:pPr>
        <w:spacing w:after="120"/>
      </w:pPr>
    </w:p>
    <w:p>
      <w:pPr>
        <w:spacing w:before="360" w:after="80"/>
      </w:pPr>
      <w:r>
        <w:rPr>
          <w:b/>
          <w:color w:val="0B0F17"/>
          <w:sz w:val="32"/>
        </w:rPr>
        <w:t>SLIDE 11: QA VERIFICATION &amp; EMPIRICAL BENCHMARKS</w:t>
      </w:r>
    </w:p>
    <w:p>
      <w:pPr>
        <w:spacing w:after="160"/>
      </w:pPr>
      <w:r>
        <w:rPr>
          <w:b/>
          <w:color w:val="0E7490"/>
        </w:rPr>
        <w:t xml:space="preserve">📌 Visual Context: </w:t>
      </w:r>
      <w:r>
        <w:rPr>
          <w:i/>
          <w:color w:val="475569"/>
        </w:rPr>
        <w:t>Slide 11 features two side-by-side cards displaying Empirical Latency Benchmarks (Depth 1-5 lookups) and Quality Assurance Audit Status (pytest, tsc, WBS, 47 entities).</w:t>
      </w:r>
    </w:p>
    <w:p>
      <w:pPr>
        <w:spacing w:before="80" w:after="40"/>
      </w:pPr>
      <w:r>
        <w:rPr>
          <w:b/>
          <w:color w:val="0B0F17"/>
          <w:sz w:val="24"/>
        </w:rPr>
        <w:t>🎙️ Spoken Presenter Script:</w:t>
      </w:r>
    </w:p>
    <w:p>
      <w:pPr>
        <w:spacing w:after="120" w:line="276" w:lineRule="auto"/>
      </w:pPr>
      <w:r>
        <w:rPr>
          <w:color w:val="1E293B"/>
          <w:sz w:val="22"/>
        </w:rPr>
        <w:t>"Our quality assurance audit verified system stability across both functional correctness and performance benchmarks."</w:t>
      </w:r>
    </w:p>
    <w:p>
      <w:pPr>
        <w:spacing w:after="120" w:line="276" w:lineRule="auto"/>
      </w:pPr>
      <w:r>
        <w:rPr>
          <w:color w:val="1E293B"/>
          <w:sz w:val="22"/>
        </w:rPr>
        <w:t>"Examining our latency benchmarks on the left: Depth-1 direct lookups require 12 milliseconds uncached, dropping to 1.2 milliseconds when cached."</w:t>
      </w:r>
    </w:p>
    <w:p>
      <w:pPr>
        <w:spacing w:after="120" w:line="276" w:lineRule="auto"/>
      </w:pPr>
      <w:r>
        <w:rPr>
          <w:color w:val="1E293B"/>
          <w:sz w:val="22"/>
        </w:rPr>
        <w:t>"Complex Depth-5 recursive graph traversals require 84 milliseconds uncached, but execute in just 4.1 milliseconds when served from the FastAPI in-memory LRU cache—representing a 95% latency reduction."</w:t>
      </w:r>
    </w:p>
    <w:p>
      <w:pPr>
        <w:spacing w:after="120" w:line="276" w:lineRule="auto"/>
      </w:pPr>
      <w:r>
        <w:rPr>
          <w:color w:val="1E293B"/>
          <w:sz w:val="22"/>
        </w:rPr>
        <w:t>"On the right, our QA audit confirmed a 100% pytest integration pass rate across all 22 system features, zero static TypeScript build errors, complete completion of 14/14 WBS deliverables, and 100% resolution of all 6 audit defects."</w:t>
      </w:r>
    </w:p>
    <w:p>
      <w:pPr>
        <w:spacing w:before="120" w:after="40"/>
      </w:pPr>
      <w:r>
        <w:rPr>
          <w:b/>
          <w:color w:val="0E7490"/>
          <w:sz w:val="22"/>
        </w:rPr>
        <w:t>💡 Key Technical Talking Points &amp; Anticipated Q&amp;A:</w:t>
      </w:r>
    </w:p>
    <w:p>
      <w:pPr>
        <w:pStyle w:val="ListBullet"/>
        <w:spacing w:after="60"/>
      </w:pPr>
      <w:r>
        <w:rPr>
          <w:color w:val="1E293B"/>
          <w:sz w:val="20"/>
        </w:rPr>
        <w:t>Source Data: GuardianIQ_Business_Scenario_QA_Features_Report.md.</w:t>
      </w:r>
    </w:p>
    <w:p>
      <w:pPr>
        <w:pStyle w:val="ListBullet"/>
        <w:spacing w:after="60"/>
      </w:pPr>
      <w:r>
        <w:rPr>
          <w:color w:val="1E293B"/>
          <w:sz w:val="20"/>
        </w:rPr>
        <w:t>Latency Benchmarks: Depth 1 (12ms / 1.2ms cached), Depth 3 (38ms / 3.4ms cached), Depth 5 (84ms / 4.1ms cached), Dry-run (19ms / 2.1ms cached).</w:t>
      </w:r>
    </w:p>
    <w:p>
      <w:pPr>
        <w:pStyle w:val="ListBullet"/>
        <w:spacing w:after="60"/>
      </w:pPr>
      <w:r>
        <w:rPr>
          <w:color w:val="1E293B"/>
          <w:sz w:val="20"/>
        </w:rPr>
        <w:t>QA Verification: 22/22 Features Passed, 6/6 Defects Fixed (DEF-01 to DEF-06), 0 tsc build errors, 47 entities covered.</w:t>
      </w:r>
    </w:p>
    <w:p>
      <w:pPr>
        <w:spacing w:before="120" w:after="320"/>
      </w:pPr>
      <w:r>
        <w:rPr>
          <w:b/>
          <w:color w:val="0E7490"/>
        </w:rPr>
        <w:t xml:space="preserve">➡️ Verbal Segue to Next Slide: </w:t>
      </w:r>
      <w:r>
        <w:rPr>
          <w:i/>
        </w:rPr>
        <w:t>"Finally, let's review our technical recommendation and deployment checklist for Release Candidate v3.0.0-rc2."</w:t>
      </w:r>
    </w:p>
    <w:p>
      <w:pPr>
        <w:spacing w:after="120"/>
      </w:pPr>
    </w:p>
    <w:p>
      <w:pPr>
        <w:spacing w:before="360" w:after="80"/>
      </w:pPr>
      <w:r>
        <w:rPr>
          <w:b/>
          <w:color w:val="0B0F17"/>
          <w:sz w:val="32"/>
        </w:rPr>
        <w:t>SLIDE 12: PRODUCTION READINESS ASSESSMENT &amp; RECOMMENDATION</w:t>
      </w:r>
    </w:p>
    <w:p>
      <w:pPr>
        <w:spacing w:after="160"/>
      </w:pPr>
      <w:r>
        <w:rPr>
          <w:b/>
          <w:color w:val="0E7490"/>
        </w:rPr>
        <w:t xml:space="preserve">📌 Visual Context: </w:t>
      </w:r>
      <w:r>
        <w:rPr>
          <w:i/>
          <w:color w:val="475569"/>
        </w:rPr>
        <w:t>Slide 12 displays the Release Candidate Assessment Recommendation Banner over a 4-step operational deployment checklist.</w:t>
      </w:r>
    </w:p>
    <w:p>
      <w:pPr>
        <w:spacing w:before="80" w:after="40"/>
      </w:pPr>
      <w:r>
        <w:rPr>
          <w:b/>
          <w:color w:val="0B0F17"/>
          <w:sz w:val="24"/>
        </w:rPr>
        <w:t>🎙️ Spoken Presenter Script:</w:t>
      </w:r>
    </w:p>
    <w:p>
      <w:pPr>
        <w:spacing w:after="120" w:line="276" w:lineRule="auto"/>
      </w:pPr>
      <w:r>
        <w:rPr>
          <w:color w:val="1E293B"/>
          <w:sz w:val="22"/>
        </w:rPr>
        <w:t>"In conclusion, Release Candidate v3.0.0-rc2 has successfully passed all technical verification criteria and empirical benchmark checks."</w:t>
      </w:r>
    </w:p>
    <w:p>
      <w:pPr>
        <w:spacing w:after="120" w:line="276" w:lineRule="auto"/>
      </w:pPr>
      <w:r>
        <w:rPr>
          <w:color w:val="1E293B"/>
          <w:sz w:val="22"/>
        </w:rPr>
        <w:t>"Our engineering recommendation is to proceed with production deployment sign-off."</w:t>
      </w:r>
    </w:p>
    <w:p>
      <w:pPr>
        <w:spacing w:after="120" w:line="276" w:lineRule="auto"/>
      </w:pPr>
      <w:r>
        <w:rPr>
          <w:color w:val="1E293B"/>
          <w:sz w:val="22"/>
        </w:rPr>
        <w:t>"Production rollout follows a clean 4-step deployment checklist:"</w:t>
      </w:r>
    </w:p>
    <w:p>
      <w:pPr>
        <w:spacing w:after="120" w:line="276" w:lineRule="auto"/>
      </w:pPr>
      <w:r>
        <w:rPr>
          <w:color w:val="1E293B"/>
          <w:sz w:val="22"/>
        </w:rPr>
        <w:t>"Step 01: Execute Alembic migration 7e72dc221571 for schema consolidation and migration 73433bbfa6a5 for composite indexing."</w:t>
      </w:r>
    </w:p>
    <w:p>
      <w:pPr>
        <w:spacing w:after="120" w:line="276" w:lineRule="auto"/>
      </w:pPr>
      <w:r>
        <w:rPr>
          <w:color w:val="1E293B"/>
          <w:sz w:val="22"/>
        </w:rPr>
        <w:t>"Step 02: Run python backend/scripts/seed_relationships.py post-migration to populate initial enterprise entity topology."</w:t>
      </w:r>
    </w:p>
    <w:p>
      <w:pPr>
        <w:spacing w:after="120" w:line="276" w:lineRule="auto"/>
      </w:pPr>
      <w:r>
        <w:rPr>
          <w:color w:val="1E293B"/>
          <w:sz w:val="22"/>
        </w:rPr>
        <w:t>"Step 03: Subscribe alert listeners to RELATIONSHIP_VALIDATION_FAILED audit events for real-time risk monitoring."</w:t>
      </w:r>
    </w:p>
    <w:p>
      <w:pPr>
        <w:spacing w:after="120" w:line="276" w:lineRule="auto"/>
      </w:pPr>
      <w:r>
        <w:rPr>
          <w:color w:val="1E293B"/>
          <w:sz w:val="22"/>
        </w:rPr>
        <w:t>"Step 04: Confirm final sign-off: 22/22 features passed, 6/6 defects remediated, and primary owner coverage assigned across all 47 entities."</w:t>
      </w:r>
    </w:p>
    <w:p>
      <w:pPr>
        <w:spacing w:after="120" w:line="276" w:lineRule="auto"/>
      </w:pPr>
      <w:r>
        <w:rPr>
          <w:color w:val="1E293B"/>
          <w:sz w:val="22"/>
        </w:rPr>
        <w:t>"Thank you for your time. I am now open to questions from the CTO, Solution Architects, and engineering leads."</w:t>
      </w:r>
    </w:p>
    <w:p>
      <w:pPr>
        <w:spacing w:before="120" w:after="40"/>
      </w:pPr>
      <w:r>
        <w:rPr>
          <w:b/>
          <w:color w:val="0E7490"/>
          <w:sz w:val="22"/>
        </w:rPr>
        <w:t>💡 Key Technical Talking Points &amp; Anticipated Q&amp;A:</w:t>
      </w:r>
    </w:p>
    <w:p>
      <w:pPr>
        <w:pStyle w:val="ListBullet"/>
        <w:spacing w:after="60"/>
      </w:pPr>
      <w:r>
        <w:rPr>
          <w:color w:val="1E293B"/>
          <w:sz w:val="20"/>
        </w:rPr>
        <w:t>Technical Recommendation: Proceed with Release Candidate v3.0.0-rc2 production deployment.</w:t>
      </w:r>
    </w:p>
    <w:p>
      <w:pPr>
        <w:pStyle w:val="ListBullet"/>
        <w:spacing w:after="60"/>
      </w:pPr>
      <w:r>
        <w:rPr>
          <w:color w:val="1E293B"/>
          <w:sz w:val="20"/>
        </w:rPr>
        <w:t>Deployment Commands: alembic upgrade head ➔ python backend/scripts/seed_relationships.py.</w:t>
      </w:r>
    </w:p>
    <w:p>
      <w:pPr>
        <w:pStyle w:val="ListBullet"/>
        <w:spacing w:after="60"/>
      </w:pPr>
      <w:r>
        <w:rPr>
          <w:color w:val="1E293B"/>
          <w:sz w:val="20"/>
        </w:rPr>
        <w:t>Audit Event Handler: Subscribe monitoring to RELATIONSHIP_VALIDATION_FAILED events.</w:t>
      </w:r>
    </w:p>
    <w:p>
      <w:pPr>
        <w:pStyle w:val="ListBullet"/>
        <w:spacing w:after="60"/>
      </w:pPr>
      <w:r>
        <w:rPr>
          <w:color w:val="1E293B"/>
          <w:sz w:val="20"/>
        </w:rPr>
        <w:t>Sign-Off Status: 100% Ready for Production Deployment Rollout.</w:t>
      </w:r>
    </w:p>
    <w:p>
      <w:pPr>
        <w:spacing w:before="120" w:after="320"/>
      </w:pPr>
      <w:r>
        <w:rPr>
          <w:b/>
          <w:color w:val="0E7490"/>
        </w:rPr>
        <w:t xml:space="preserve">➡️ Verbal Segue to Next Slide: </w:t>
      </w:r>
      <w:r>
        <w:rPr>
          <w:i/>
        </w:rPr>
        <w:t>"Thank you. We are now open for technical discussion and Q&amp;A."</w:t>
      </w:r>
    </w:p>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