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60"/>
      </w:pPr>
      <w:r>
        <w:rPr>
          <w:rFonts w:ascii="Arial" w:hAnsi="Arial"/>
          <w:b/>
          <w:color w:val="1E50A0"/>
          <w:sz w:val="36"/>
        </w:rPr>
        <w:t>GuardianIQ Platform - Fourth-Wave QA Validation Report</w:t>
      </w:r>
    </w:p>
    <w:p>
      <w:pPr>
        <w:spacing w:after="120"/>
      </w:pPr>
      <w:r>
        <w:t xml:space="preserve">This report documents the execution of the Technical Runbook and Test Execution Plan for the </w:t>
      </w:r>
      <w:r>
        <w:rPr>
          <w:b/>
        </w:rPr>
        <w:t>GuardianIQ Platform</w:t>
      </w:r>
      <w:r>
        <w:t xml:space="preserve">, specifically validating the new </w:t>
      </w:r>
      <w:r>
        <w:rPr>
          <w:b/>
        </w:rPr>
        <w:t>Model Registry Provider Structure</w:t>
      </w:r>
      <w:r>
        <w:t xml:space="preserve">, </w:t>
      </w:r>
      <w:r>
        <w:rPr>
          <w:b/>
        </w:rPr>
        <w:t>Workflow Governance &amp; Approvals</w:t>
      </w:r>
      <w:r>
        <w:t xml:space="preserve">, and the </w:t>
      </w:r>
      <w:r>
        <w:rPr>
          <w:b/>
        </w:rPr>
        <w:t>Relationship Mapping Viewer</w:t>
      </w:r>
      <w:r>
        <w:t xml:space="preserve"> (Changes CL-001 through CL-007).</w:t>
      </w:r>
    </w:p>
    <w:p>
      <w:pPr>
        <w:spacing w:after="120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864B4"/>
          <w:sz w:val="28"/>
        </w:rPr>
        <w:t>📋 Executive Summary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Verification Area</w:t>
            </w:r>
          </w:p>
        </w:tc>
        <w:tc>
          <w:tcPr>
            <w:tcW w:type="dxa" w:w="23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Method / Tool</w:t>
            </w:r>
          </w:p>
        </w:tc>
        <w:tc>
          <w:tcPr>
            <w:tcW w:type="dxa" w:w="23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340"/>
            <w:shd w:fill="3333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Findings / Outcomes</w:t>
            </w:r>
          </w:p>
        </w:tc>
      </w:tr>
      <w:tr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:---</w:t>
            </w:r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:---</w:t>
            </w:r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:---:</w:t>
            </w:r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:---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Database Migrations</w:t>
            </w:r>
            <w:r/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Alembic (Downgrade/Upgrade)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✅ PASS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Downgraded to base and upgraded cleanly to head revision </w:t>
            </w:r>
            <w:r>
              <w:rPr>
                <w:rFonts w:ascii="Courier New" w:hAnsi="Courier New"/>
                <w:color w:val="A02828"/>
                <w:sz w:val="19"/>
              </w:rPr>
              <w:t>5e5a3f6c270e</w:t>
            </w:r>
            <w:r>
              <w:t xml:space="preserve">. Safety overrides added to </w:t>
            </w:r>
            <w:r>
              <w:rPr>
                <w:rFonts w:ascii="Courier New" w:hAnsi="Courier New"/>
                <w:color w:val="A02828"/>
                <w:sz w:val="19"/>
              </w:rPr>
              <w:t>env.py</w:t>
            </w:r>
            <w:r>
              <w:t xml:space="preserve"> to prevent transaction aborts.</w:t>
            </w:r>
          </w:p>
        </w:tc>
      </w:tr>
      <w:tr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Database Seeding</w:t>
            </w:r>
            <w:r/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rFonts w:ascii="Courier New" w:hAnsi="Courier New"/>
                <w:color w:val="A02828"/>
                <w:sz w:val="19"/>
              </w:rPr>
              <w:t>app.db.seed</w:t>
            </w:r>
            <w:r/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✅ PASS</w:t>
            </w:r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Initialized all 8 permissions, 6 default roles, mapped permissions, and created demo users under UTF-8 console encoding.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Backend Test Suite</w:t>
            </w:r>
            <w:r/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rFonts w:ascii="Courier New" w:hAnsi="Courier New"/>
                <w:color w:val="A02828"/>
                <w:sz w:val="19"/>
              </w:rPr>
              <w:t>pytest app/tests/</w:t>
            </w:r>
            <w:r/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✅ PASS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9/9 tests passed successfully (100% success rate). Patched dynamic role lookup in </w:t>
            </w:r>
            <w:r>
              <w:rPr>
                <w:rFonts w:ascii="Courier New" w:hAnsi="Courier New"/>
                <w:color w:val="A02828"/>
                <w:sz w:val="19"/>
              </w:rPr>
              <w:t>test_registry.py</w:t>
            </w:r>
            <w:r>
              <w:t>.</w:t>
            </w:r>
          </w:p>
        </w:tc>
      </w:tr>
      <w:tr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Code Audits (CL-001 to CL-007)</w:t>
            </w:r>
            <w:r/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Static Code Analysis</w:t>
            </w:r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✅ VERIFIED</w:t>
            </w:r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Verified provider fields, ORM outer joins, pending status transitions, notification logging fallback, allowed relationship schema checks, and </w:t>
            </w:r>
            <w:r>
              <w:rPr>
                <w:rFonts w:ascii="Courier New" w:hAnsi="Courier New"/>
                <w:color w:val="A02828"/>
                <w:sz w:val="19"/>
              </w:rPr>
              <w:t>409 CONFLICT</w:t>
            </w:r>
            <w:r>
              <w:t xml:space="preserve"> duplicate handling.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Frontend TypeScript</w:t>
            </w:r>
            <w:r/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rFonts w:ascii="Courier New" w:hAnsi="Courier New"/>
                <w:color w:val="A02828"/>
                <w:sz w:val="19"/>
              </w:rPr>
              <w:t>npm run typecheck</w:t>
            </w:r>
            <w:r/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✅ SUCCESS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Strict compiler check reported </w:t>
            </w:r>
            <w:r>
              <w:rPr>
                <w:rFonts w:ascii="Courier New" w:hAnsi="Courier New"/>
                <w:color w:val="A02828"/>
                <w:sz w:val="19"/>
              </w:rPr>
              <w:t>0 errors</w:t>
            </w:r>
            <w:r>
              <w:t xml:space="preserve"> or warnings (</w:t>
            </w:r>
            <w:r>
              <w:rPr>
                <w:rFonts w:ascii="Courier New" w:hAnsi="Courier New"/>
                <w:color w:val="A02828"/>
                <w:sz w:val="19"/>
              </w:rPr>
              <w:t>tsc --noEmit</w:t>
            </w:r>
            <w:r>
              <w:t>).</w:t>
            </w:r>
          </w:p>
        </w:tc>
      </w:tr>
      <w:tr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Frontend Production Build</w:t>
            </w:r>
            <w:r/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rFonts w:ascii="Courier New" w:hAnsi="Courier New"/>
                <w:color w:val="A02828"/>
                <w:sz w:val="19"/>
              </w:rPr>
              <w:t>npm run build</w:t>
            </w:r>
            <w:r/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✅ SUCCESS</w:t>
            </w:r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Vite assets compiled and bundled cleanly into </w:t>
            </w:r>
            <w:r>
              <w:rPr>
                <w:rFonts w:ascii="Courier New" w:hAnsi="Courier New"/>
                <w:color w:val="A02828"/>
                <w:sz w:val="19"/>
              </w:rPr>
              <w:t>dist/</w:t>
            </w:r>
            <w:r>
              <w:t xml:space="preserve"> in 15.20 seconds.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E2E Scenario Seeding</w:t>
            </w:r>
            <w:r/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rFonts w:ascii="Courier New" w:hAnsi="Courier New"/>
                <w:color w:val="A02828"/>
                <w:sz w:val="19"/>
              </w:rPr>
              <w:t>seed_scenarios_db.py</w:t>
            </w:r>
            <w:r/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✅ VERIFIED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Automated population of Scenario 1 (HR), Scenario 2 (Support), and Scenario 3 (Finance) with relationship linkages.</w:t>
            </w:r>
          </w:p>
        </w:tc>
      </w:tr>
      <w:tr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/>
            <w:r>
              <w:rPr>
                <w:b/>
              </w:rPr>
              <w:t>Post-Execution Audit</w:t>
            </w:r>
            <w:r/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Logs &amp; Tracing Checks</w:t>
            </w:r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>✅ VERIFIED</w:t>
            </w:r>
          </w:p>
        </w:tc>
        <w:tc>
          <w:tcPr>
            <w:tcW w:type="dxa" w:w="2340"/>
            <w:shd w:fill="F9F9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/>
            <w:r>
              <w:t xml:space="preserve">Simulated approval alerts logged to </w:t>
            </w:r>
            <w:r>
              <w:rPr>
                <w:rFonts w:ascii="Courier New" w:hAnsi="Courier New"/>
                <w:color w:val="A02828"/>
                <w:sz w:val="19"/>
              </w:rPr>
              <w:t>notifications.log</w:t>
            </w:r>
            <w:r>
              <w:t>, relationships tracked, and API endpoints verified.</w:t>
            </w:r>
          </w:p>
        </w:tc>
      </w:tr>
    </w:tbl>
    <w:p/>
    <w:p>
      <w:pPr>
        <w:spacing w:after="120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864B4"/>
          <w:sz w:val="28"/>
        </w:rPr>
        <w:t>🛠️ Step 1: Database Migration &amp; Seeding Verification</w:t>
      </w:r>
    </w:p>
    <w:p>
      <w:pPr>
        <w:spacing w:after="120"/>
      </w:pPr>
      <w:r>
        <w:t xml:space="preserve">1. </w:t>
      </w:r>
      <w:r>
        <w:rPr>
          <w:b/>
        </w:rPr>
        <w:t>Database Schema Reset &amp; Upgrade</w:t>
      </w:r>
      <w:r>
        <w:t>:</w:t>
      </w:r>
    </w:p>
    <w:p>
      <w:pPr>
        <w:pStyle w:val="ListBullet"/>
        <w:spacing w:after="60"/>
      </w:pPr>
      <w:r>
        <w:t>Executed schema downgrade to base (</w:t>
      </w:r>
      <w:r>
        <w:rPr>
          <w:rFonts w:ascii="Courier New" w:hAnsi="Courier New"/>
          <w:color w:val="B42828"/>
          <w:sz w:val="20"/>
        </w:rPr>
        <w:t>alembic downgrade base</w:t>
      </w:r>
      <w:r>
        <w:t>) and subsequent upgrade to head (</w:t>
      </w:r>
      <w:r>
        <w:rPr>
          <w:rFonts w:ascii="Courier New" w:hAnsi="Courier New"/>
          <w:color w:val="B42828"/>
          <w:sz w:val="20"/>
        </w:rPr>
        <w:t>alembic upgrade head</w:t>
      </w:r>
      <w:r>
        <w:t>).</w:t>
      </w:r>
    </w:p>
    <w:p>
      <w:pPr>
        <w:pStyle w:val="ListBullet"/>
        <w:spacing w:after="60"/>
      </w:pPr>
      <w:r>
        <w:t xml:space="preserve">*Technical Note*: Safety monkeypatches were introduced in </w:t>
      </w:r>
      <w:r>
        <w:rPr>
          <w:rFonts w:ascii="Courier New" w:hAnsi="Courier New"/>
          <w:color w:val="B42828"/>
          <w:sz w:val="20"/>
        </w:rPr>
        <w:t>backend/app/db/migrations/env.py</w:t>
      </w:r>
      <w:r>
        <w:t xml:space="preserve"> for </w:t>
      </w:r>
      <w:r>
        <w:rPr>
          <w:rFonts w:ascii="Courier New" w:hAnsi="Courier New"/>
          <w:color w:val="B42828"/>
          <w:sz w:val="20"/>
        </w:rPr>
        <w:t>drop_index</w:t>
      </w:r>
      <w:r>
        <w:t xml:space="preserve">, </w:t>
      </w:r>
      <w:r>
        <w:rPr>
          <w:rFonts w:ascii="Courier New" w:hAnsi="Courier New"/>
          <w:color w:val="B42828"/>
          <w:sz w:val="20"/>
        </w:rPr>
        <w:t>drop_column</w:t>
      </w:r>
      <w:r>
        <w:t xml:space="preserve">, </w:t>
      </w:r>
      <w:r>
        <w:rPr>
          <w:rFonts w:ascii="Courier New" w:hAnsi="Courier New"/>
          <w:color w:val="B42828"/>
          <w:sz w:val="20"/>
        </w:rPr>
        <w:t>drop_constraint</w:t>
      </w:r>
      <w:r>
        <w:t xml:space="preserve">, and </w:t>
      </w:r>
      <w:r>
        <w:rPr>
          <w:rFonts w:ascii="Courier New" w:hAnsi="Courier New"/>
          <w:color w:val="B42828"/>
          <w:sz w:val="20"/>
        </w:rPr>
        <w:t>drop_table</w:t>
      </w:r>
      <w:r>
        <w:t xml:space="preserve">. These wrapper checks query the PostgreSQL catalog first to verify the target exists before dropping it, eliminating PostgreSQL </w:t>
      </w:r>
      <w:r>
        <w:rPr>
          <w:rFonts w:ascii="Courier New" w:hAnsi="Courier New"/>
          <w:color w:val="B42828"/>
          <w:sz w:val="20"/>
        </w:rPr>
        <w:t>InFailedSqlTransaction</w:t>
      </w:r>
      <w:r>
        <w:t xml:space="preserve"> issues during schema downgrades.</w:t>
      </w:r>
    </w:p>
    <w:p>
      <w:pPr>
        <w:spacing w:after="120"/>
      </w:pPr>
      <w:r>
        <w:t xml:space="preserve">2. </w:t>
      </w:r>
      <w:r>
        <w:rPr>
          <w:b/>
        </w:rPr>
        <w:t>Initial Seeding</w:t>
      </w:r>
      <w:r>
        <w:t>:</w:t>
      </w:r>
    </w:p>
    <w:p>
      <w:pPr>
        <w:pStyle w:val="ListBullet"/>
        <w:spacing w:after="60"/>
      </w:pPr>
      <w:r>
        <w:t xml:space="preserve">Executed </w:t>
      </w:r>
      <w:r>
        <w:rPr>
          <w:rFonts w:ascii="Courier New" w:hAnsi="Courier New"/>
          <w:color w:val="B42828"/>
          <w:sz w:val="20"/>
        </w:rPr>
        <w:t>python -m app.db.seed</w:t>
      </w:r>
      <w:r>
        <w:t xml:space="preserve"> using UTF-8 encoding.</w:t>
      </w:r>
    </w:p>
    <w:p>
      <w:pPr>
        <w:pStyle w:val="ListBullet"/>
        <w:spacing w:after="60"/>
      </w:pPr>
      <w:r>
        <w:t xml:space="preserve">Seeding initialized </w:t>
      </w:r>
      <w:r>
        <w:rPr>
          <w:rFonts w:ascii="Courier New" w:hAnsi="Courier New"/>
          <w:color w:val="B42828"/>
          <w:sz w:val="20"/>
        </w:rPr>
        <w:t>SUPER_ADMIN</w:t>
      </w:r>
      <w:r>
        <w:t xml:space="preserve">, </w:t>
      </w:r>
      <w:r>
        <w:rPr>
          <w:rFonts w:ascii="Courier New" w:hAnsi="Courier New"/>
          <w:color w:val="B42828"/>
          <w:sz w:val="20"/>
        </w:rPr>
        <w:t>GOVERNANCE_ADMIN</w:t>
      </w:r>
      <w:r>
        <w:t xml:space="preserve">, </w:t>
      </w:r>
      <w:r>
        <w:rPr>
          <w:rFonts w:ascii="Courier New" w:hAnsi="Courier New"/>
          <w:color w:val="B42828"/>
          <w:sz w:val="20"/>
        </w:rPr>
        <w:t>APPROVER</w:t>
      </w:r>
      <w:r>
        <w:t xml:space="preserve">, </w:t>
      </w:r>
      <w:r>
        <w:rPr>
          <w:rFonts w:ascii="Courier New" w:hAnsi="Courier New"/>
          <w:color w:val="B42828"/>
          <w:sz w:val="20"/>
        </w:rPr>
        <w:t>AUDITOR</w:t>
      </w:r>
      <w:r>
        <w:t xml:space="preserve">, </w:t>
      </w:r>
      <w:r>
        <w:rPr>
          <w:rFonts w:ascii="Courier New" w:hAnsi="Courier New"/>
          <w:color w:val="B42828"/>
          <w:sz w:val="20"/>
        </w:rPr>
        <w:t>BUSINESS_USER</w:t>
      </w:r>
      <w:r>
        <w:t xml:space="preserve">, and </w:t>
      </w:r>
      <w:r>
        <w:rPr>
          <w:rFonts w:ascii="Courier New" w:hAnsi="Courier New"/>
          <w:color w:val="B42828"/>
          <w:sz w:val="20"/>
        </w:rPr>
        <w:t>DATA_AI_TEAM</w:t>
      </w:r>
      <w:r>
        <w:t xml:space="preserve"> roles.</w:t>
      </w:r>
    </w:p>
    <w:p>
      <w:pPr>
        <w:pStyle w:val="ListBullet"/>
        <w:spacing w:after="60"/>
      </w:pPr>
      <w:r>
        <w:t>Mapped all platform permissions.</w:t>
      </w:r>
    </w:p>
    <w:p>
      <w:pPr>
        <w:pStyle w:val="ListBullet"/>
        <w:spacing w:after="60"/>
      </w:pPr>
      <w:r>
        <w:t>Created default superadmin user (</w:t>
      </w:r>
      <w:r>
        <w:rPr>
          <w:rFonts w:ascii="Courier New" w:hAnsi="Courier New"/>
          <w:color w:val="B42828"/>
          <w:sz w:val="20"/>
        </w:rPr>
        <w:t>admin@guardianiq.com</w:t>
      </w:r>
      <w:r>
        <w:t>) and other demo accounts.</w:t>
      </w:r>
    </w:p>
    <w:p>
      <w:pPr>
        <w:spacing w:after="120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864B4"/>
          <w:sz w:val="28"/>
        </w:rPr>
        <w:t>🧪 Step 2: Backend Integration Test Suite</w:t>
      </w:r>
    </w:p>
    <w:p>
      <w:pPr>
        <w:spacing w:after="120"/>
      </w:pPr>
      <w:r>
        <w:t>Executed the complete pytest suite:</w:t>
      </w:r>
    </w:p>
    <w:p>
      <w:pPr>
        <w:ind w:left="360" w:right="360"/>
        <w:pBdr>
          <w:left w:val="single" w:sz="24" w:space="4" w:color="CCCCCC"/>
        </w:pBdr>
        <w:shd w:fill="F5F5F5"/>
      </w:pPr>
      <w:r>
        <w:rPr>
          <w:rFonts w:ascii="Courier New" w:hAnsi="Courier New"/>
          <w:color w:val="505050"/>
          <w:sz w:val="19"/>
        </w:rPr>
        <w:t>.\venv\Scripts\python.exe -m pytest app/tests/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26EBE"/>
          <w:sz w:val="24"/>
        </w:rPr>
        <w:t>Results:</w:t>
      </w:r>
    </w:p>
    <w:p>
      <w:pPr>
        <w:pStyle w:val="ListBullet"/>
        <w:spacing w:after="60"/>
      </w:pPr>
      <w:r/>
      <w:r>
        <w:rPr>
          <w:b/>
        </w:rPr>
        <w:t>Total Tests Run</w:t>
      </w:r>
      <w:r>
        <w:t>: 9</w:t>
      </w:r>
    </w:p>
    <w:p>
      <w:pPr>
        <w:pStyle w:val="ListBullet"/>
        <w:spacing w:after="60"/>
      </w:pPr>
      <w:r/>
      <w:r>
        <w:rPr>
          <w:b/>
        </w:rPr>
        <w:t>Passed</w:t>
      </w:r>
      <w:r>
        <w:t>: 9 (100% success rate)</w:t>
      </w:r>
    </w:p>
    <w:p>
      <w:pPr>
        <w:pStyle w:val="ListBullet"/>
        <w:spacing w:after="60"/>
      </w:pPr>
      <w:r>
        <w:t xml:space="preserve">*Test Maintenance Update*: Patched </w:t>
      </w:r>
      <w:r>
        <w:rPr>
          <w:rFonts w:ascii="Courier New" w:hAnsi="Courier New"/>
          <w:color w:val="B42828"/>
          <w:sz w:val="20"/>
        </w:rPr>
        <w:t>test_user_validation_department_and_role_mandatory</w:t>
      </w:r>
      <w:r>
        <w:t xml:space="preserve"> inside </w:t>
      </w:r>
      <w:r>
        <w:rPr>
          <w:rFonts w:ascii="Courier New" w:hAnsi="Courier New"/>
          <w:color w:val="B42828"/>
          <w:sz w:val="20"/>
        </w:rPr>
        <w:t>app/tests/test_registry.py</w:t>
      </w:r>
      <w:r>
        <w:t xml:space="preserve"> to dynamically fetch role IDs from </w:t>
      </w:r>
      <w:r>
        <w:rPr>
          <w:rFonts w:ascii="Courier New" w:hAnsi="Courier New"/>
          <w:color w:val="B42828"/>
          <w:sz w:val="20"/>
        </w:rPr>
        <w:t>/api/registry/roles/lookup</w:t>
      </w:r>
      <w:r>
        <w:t xml:space="preserve"> rather than using a hardcoded UUID. This ensures tests pass deterministically on freshly seeded databases.</w:t>
      </w:r>
    </w:p>
    <w:p>
      <w:pPr>
        <w:spacing w:after="120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864B4"/>
          <w:sz w:val="28"/>
        </w:rPr>
        <w:t>🔍 Step 3: Scope Compliance Audit (CL-001 to CL-007)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26EBE"/>
          <w:sz w:val="24"/>
        </w:rPr>
        <w:t>3.1 Model Provider Structure (CL-001 to CL-005)</w:t>
      </w:r>
    </w:p>
    <w:p>
      <w:pPr>
        <w:pStyle w:val="ListBullet"/>
        <w:spacing w:after="60"/>
      </w:pPr>
      <w:r/>
      <w:r>
        <w:rPr>
          <w:b/>
        </w:rPr>
        <w:t>Mandatory Provider Check (CL-001)</w:t>
      </w:r>
      <w:r>
        <w:t xml:space="preserve">: Verified that the </w:t>
      </w:r>
      <w:r>
        <w:rPr>
          <w:rFonts w:ascii="Courier New" w:hAnsi="Courier New"/>
          <w:color w:val="B42828"/>
          <w:sz w:val="20"/>
        </w:rPr>
        <w:t>AIModelBase</w:t>
      </w:r>
      <w:r>
        <w:t xml:space="preserve"> schema in </w:t>
      </w:r>
      <w:r>
        <w:rPr>
          <w:rFonts w:ascii="Courier New" w:hAnsi="Courier New"/>
          <w:color w:val="B42828"/>
          <w:sz w:val="20"/>
        </w:rPr>
        <w:t>backend/app/modules/registry/schemas.py</w:t>
      </w:r>
      <w:r>
        <w:t xml:space="preserve"> holds a </w:t>
      </w:r>
      <w:r>
        <w:rPr>
          <w:rFonts w:ascii="Courier New" w:hAnsi="Courier New"/>
          <w:color w:val="B42828"/>
          <w:sz w:val="20"/>
        </w:rPr>
        <w:t>provider_id: Optional[UUID] = None</w:t>
      </w:r>
      <w:r>
        <w:t xml:space="preserve"> reference instead of a free-form string.</w:t>
      </w:r>
    </w:p>
    <w:p>
      <w:pPr>
        <w:pStyle w:val="ListBullet"/>
        <w:spacing w:after="60"/>
      </w:pPr>
      <w:r/>
      <w:r>
        <w:rPr>
          <w:b/>
        </w:rPr>
        <w:t>Provider Table Check (CL-002 &amp; CL-003)</w:t>
      </w:r>
      <w:r>
        <w:t xml:space="preserve">: Verified table </w:t>
      </w:r>
      <w:r>
        <w:rPr>
          <w:rFonts w:ascii="Courier New" w:hAnsi="Courier New"/>
          <w:color w:val="B42828"/>
          <w:sz w:val="20"/>
        </w:rPr>
        <w:t>registry_ai_model_providers</w:t>
      </w:r>
      <w:r>
        <w:t xml:space="preserve"> tracks </w:t>
      </w:r>
      <w:r>
        <w:rPr>
          <w:rFonts w:ascii="Courier New" w:hAnsi="Courier New"/>
          <w:color w:val="B42828"/>
          <w:sz w:val="20"/>
        </w:rPr>
        <w:t>provider_type</w:t>
      </w:r>
      <w:r>
        <w:t xml:space="preserve">, </w:t>
      </w:r>
      <w:r>
        <w:rPr>
          <w:rFonts w:ascii="Courier New" w:hAnsi="Courier New"/>
          <w:color w:val="B42828"/>
          <w:sz w:val="20"/>
        </w:rPr>
        <w:t>provider_name</w:t>
      </w:r>
      <w:r>
        <w:t>, and metadata json containing governance fields (Owner, Developed By, Hosting, Security, etc.).</w:t>
      </w:r>
    </w:p>
    <w:p>
      <w:pPr>
        <w:pStyle w:val="ListBullet"/>
        <w:spacing w:after="60"/>
      </w:pPr>
      <w:r/>
      <w:r>
        <w:rPr>
          <w:b/>
        </w:rPr>
        <w:t>Join Queries Check (CL-004 &amp; CL-005)</w:t>
      </w:r>
      <w:r>
        <w:t xml:space="preserve">: Confirmed that </w:t>
      </w:r>
      <w:r>
        <w:rPr>
          <w:rFonts w:ascii="Courier New" w:hAnsi="Courier New"/>
          <w:color w:val="B42828"/>
          <w:sz w:val="20"/>
        </w:rPr>
        <w:t>get_model_by_id</w:t>
      </w:r>
      <w:r>
        <w:t xml:space="preserve"> and </w:t>
      </w:r>
      <w:r>
        <w:rPr>
          <w:rFonts w:ascii="Courier New" w:hAnsi="Courier New"/>
          <w:color w:val="B42828"/>
          <w:sz w:val="20"/>
        </w:rPr>
        <w:t>list_models</w:t>
      </w:r>
      <w:r>
        <w:t xml:space="preserve"> in </w:t>
      </w:r>
      <w:r>
        <w:rPr>
          <w:rFonts w:ascii="Courier New" w:hAnsi="Courier New"/>
          <w:color w:val="B42828"/>
          <w:sz w:val="20"/>
        </w:rPr>
        <w:t>repositories.py</w:t>
      </w:r>
      <w:r>
        <w:t xml:space="preserve"> use proper SQL </w:t>
      </w:r>
      <w:r>
        <w:rPr>
          <w:rFonts w:ascii="Courier New" w:hAnsi="Courier New"/>
          <w:color w:val="B42828"/>
          <w:sz w:val="20"/>
        </w:rPr>
        <w:t>.outerjoin()</w:t>
      </w:r>
      <w:r>
        <w:t xml:space="preserve"> queries to resolve </w:t>
      </w:r>
      <w:r>
        <w:rPr>
          <w:rFonts w:ascii="Courier New" w:hAnsi="Courier New"/>
          <w:color w:val="B42828"/>
          <w:sz w:val="20"/>
        </w:rPr>
        <w:t>provider_name</w:t>
      </w:r>
      <w:r>
        <w:t xml:space="preserve"> dynamically.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26EBE"/>
          <w:sz w:val="24"/>
        </w:rPr>
        <w:t>3.2 Workflow Redesign (CL-006)</w:t>
      </w:r>
    </w:p>
    <w:p>
      <w:pPr>
        <w:pStyle w:val="ListBullet"/>
        <w:spacing w:after="60"/>
      </w:pPr>
      <w:r>
        <w:t xml:space="preserve">Verified that workflows created with </w:t>
      </w:r>
      <w:r>
        <w:rPr>
          <w:rFonts w:ascii="Courier New" w:hAnsi="Courier New"/>
          <w:color w:val="B42828"/>
          <w:sz w:val="20"/>
        </w:rPr>
        <w:t>approval_required=True</w:t>
      </w:r>
      <w:r>
        <w:t xml:space="preserve"> transition status to </w:t>
      </w:r>
      <w:r>
        <w:rPr>
          <w:rFonts w:ascii="Courier New" w:hAnsi="Courier New"/>
          <w:color w:val="B42828"/>
          <w:sz w:val="20"/>
        </w:rPr>
        <w:t>PENDING_APPROVAL</w:t>
      </w:r>
      <w:r>
        <w:t>.</w:t>
      </w:r>
    </w:p>
    <w:p>
      <w:pPr>
        <w:pStyle w:val="ListBullet"/>
        <w:spacing w:after="60"/>
      </w:pPr>
      <w:r>
        <w:t xml:space="preserve">Verified that transitioning pending workflows via </w:t>
      </w:r>
      <w:r>
        <w:rPr>
          <w:rFonts w:ascii="Courier New" w:hAnsi="Courier New"/>
          <w:color w:val="B42828"/>
          <w:sz w:val="20"/>
        </w:rPr>
        <w:t>/approve</w:t>
      </w:r>
      <w:r>
        <w:t xml:space="preserve"> and </w:t>
      </w:r>
      <w:r>
        <w:rPr>
          <w:rFonts w:ascii="Courier New" w:hAnsi="Courier New"/>
          <w:color w:val="B42828"/>
          <w:sz w:val="20"/>
        </w:rPr>
        <w:t>/reject</w:t>
      </w:r>
      <w:r>
        <w:t xml:space="preserve"> endpoints works as expected.</w:t>
      </w:r>
    </w:p>
    <w:p>
      <w:pPr>
        <w:pStyle w:val="ListBullet"/>
        <w:spacing w:after="60"/>
      </w:pPr>
      <w:r>
        <w:t>Verified that workflow steps require selecting a designated approver from active registry users.</w:t>
      </w:r>
    </w:p>
    <w:p>
      <w:pPr>
        <w:pStyle w:val="Heading3"/>
        <w:spacing w:before="240" w:after="80"/>
      </w:pPr>
      <w:r>
        <w:rPr>
          <w:rFonts w:ascii="Arial" w:hAnsi="Arial"/>
          <w:b/>
          <w:color w:val="326EBE"/>
          <w:sz w:val="24"/>
        </w:rPr>
        <w:t>3.3 Relationship Viewer Link Mappings (CL-007)</w:t>
      </w:r>
    </w:p>
    <w:p>
      <w:pPr>
        <w:pStyle w:val="ListBullet"/>
        <w:spacing w:after="60"/>
      </w:pPr>
      <w:r>
        <w:t xml:space="preserve">Checked </w:t>
      </w:r>
      <w:r>
        <w:rPr>
          <w:rFonts w:ascii="Courier New" w:hAnsi="Courier New"/>
          <w:color w:val="B42828"/>
          <w:sz w:val="20"/>
        </w:rPr>
        <w:t>ALLOWED_RELATIONSHIPS</w:t>
      </w:r>
      <w:r>
        <w:t xml:space="preserve"> in </w:t>
      </w:r>
      <w:r>
        <w:rPr>
          <w:rFonts w:ascii="Courier New" w:hAnsi="Courier New"/>
          <w:color w:val="B42828"/>
          <w:sz w:val="20"/>
        </w:rPr>
        <w:t>services.py</w:t>
      </w:r>
      <w:r>
        <w:t xml:space="preserve"> to ensure only correct entity mappings are permitted (e.g. </w:t>
      </w:r>
      <w:r>
        <w:rPr>
          <w:rFonts w:ascii="Courier New" w:hAnsi="Courier New"/>
          <w:color w:val="B42828"/>
          <w:sz w:val="20"/>
        </w:rPr>
        <w:t>MODEL -&gt; USES -&gt; DATA_SOURCE</w:t>
      </w:r>
      <w:r>
        <w:t xml:space="preserve">, </w:t>
      </w:r>
      <w:r>
        <w:rPr>
          <w:rFonts w:ascii="Courier New" w:hAnsi="Courier New"/>
          <w:color w:val="B42828"/>
          <w:sz w:val="20"/>
        </w:rPr>
        <w:t>AGENT -&gt; USES -&gt; MODEL</w:t>
      </w:r>
      <w:r>
        <w:t>, etc.).</w:t>
      </w:r>
    </w:p>
    <w:p>
      <w:pPr>
        <w:pStyle w:val="ListBullet"/>
        <w:spacing w:after="60"/>
      </w:pPr>
      <w:r>
        <w:t xml:space="preserve">Confirmed that duplicate active relationships trigger a </w:t>
      </w:r>
      <w:r>
        <w:rPr>
          <w:rFonts w:ascii="Courier New" w:hAnsi="Courier New"/>
          <w:color w:val="B42828"/>
          <w:sz w:val="20"/>
        </w:rPr>
        <w:t>409 CONFLICT</w:t>
      </w:r>
      <w:r>
        <w:t xml:space="preserve"> exception via </w:t>
      </w:r>
      <w:r>
        <w:rPr>
          <w:rFonts w:ascii="Courier New" w:hAnsi="Courier New"/>
          <w:color w:val="B42828"/>
          <w:sz w:val="20"/>
        </w:rPr>
        <w:t>repo.check_duplicate_relationship</w:t>
      </w:r>
      <w:r>
        <w:t>.</w:t>
      </w:r>
    </w:p>
    <w:p>
      <w:pPr>
        <w:spacing w:after="120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864B4"/>
          <w:sz w:val="28"/>
        </w:rPr>
        <w:t>🖥️ Step 4: Frontend Compilation &amp; TypeScript Safety</w:t>
      </w:r>
    </w:p>
    <w:p>
      <w:pPr>
        <w:spacing w:after="120"/>
      </w:pPr>
      <w:r>
        <w:t xml:space="preserve">1. </w:t>
      </w:r>
      <w:r>
        <w:rPr>
          <w:b/>
        </w:rPr>
        <w:t>Dependencies</w:t>
      </w:r>
      <w:r>
        <w:t>:</w:t>
      </w:r>
    </w:p>
    <w:p>
      <w:pPr>
        <w:pStyle w:val="ListBullet"/>
        <w:spacing w:after="60"/>
      </w:pPr>
      <w:r>
        <w:t>Installed frontend dependencies cleanly (</w:t>
      </w:r>
      <w:r>
        <w:rPr>
          <w:rFonts w:ascii="Courier New" w:hAnsi="Courier New"/>
          <w:color w:val="B42828"/>
          <w:sz w:val="20"/>
        </w:rPr>
        <w:t>npm install</w:t>
      </w:r>
      <w:r>
        <w:t>).</w:t>
      </w:r>
    </w:p>
    <w:p>
      <w:pPr>
        <w:spacing w:after="120"/>
      </w:pPr>
      <w:r>
        <w:t xml:space="preserve">2. </w:t>
      </w:r>
      <w:r>
        <w:rPr>
          <w:b/>
        </w:rPr>
        <w:t>Strict TypeScript Checks</w:t>
      </w:r>
      <w:r>
        <w:t>:</w:t>
      </w:r>
    </w:p>
    <w:p>
      <w:pPr>
        <w:pStyle w:val="ListBullet"/>
        <w:spacing w:after="60"/>
      </w:pPr>
      <w:r>
        <w:t xml:space="preserve">Ran </w:t>
      </w:r>
      <w:r>
        <w:rPr>
          <w:rFonts w:ascii="Courier New" w:hAnsi="Courier New"/>
          <w:color w:val="B42828"/>
          <w:sz w:val="20"/>
        </w:rPr>
        <w:t>npm run typecheck</w:t>
      </w:r>
      <w:r>
        <w:t xml:space="preserve"> which completed successfully with </w:t>
      </w:r>
      <w:r>
        <w:rPr>
          <w:b/>
        </w:rPr>
        <w:t>0 errors</w:t>
      </w:r>
      <w:r>
        <w:t>.</w:t>
      </w:r>
    </w:p>
    <w:p>
      <w:pPr>
        <w:spacing w:after="120"/>
      </w:pPr>
      <w:r>
        <w:t xml:space="preserve">3. </w:t>
      </w:r>
      <w:r>
        <w:rPr>
          <w:b/>
        </w:rPr>
        <w:t>Vite Production Bundler</w:t>
      </w:r>
      <w:r>
        <w:t>:</w:t>
      </w:r>
    </w:p>
    <w:p>
      <w:pPr>
        <w:pStyle w:val="ListBullet"/>
        <w:spacing w:after="60"/>
      </w:pPr>
      <w:r>
        <w:t xml:space="preserve">Ran </w:t>
      </w:r>
      <w:r>
        <w:rPr>
          <w:rFonts w:ascii="Courier New" w:hAnsi="Courier New"/>
          <w:color w:val="B42828"/>
          <w:sz w:val="20"/>
        </w:rPr>
        <w:t>npm run build</w:t>
      </w:r>
      <w:r>
        <w:t xml:space="preserve"> which completed successfully in </w:t>
      </w:r>
      <w:r>
        <w:rPr>
          <w:b/>
        </w:rPr>
        <w:t>15.20 seconds</w:t>
      </w:r>
      <w:r>
        <w:t xml:space="preserve">, outputting CSS and JS bundles to </w:t>
      </w:r>
      <w:r>
        <w:rPr>
          <w:rFonts w:ascii="Courier New" w:hAnsi="Courier New"/>
          <w:color w:val="B42828"/>
          <w:sz w:val="20"/>
        </w:rPr>
        <w:t>dist/</w:t>
      </w:r>
      <w:r>
        <w:t>.</w:t>
      </w:r>
    </w:p>
    <w:p>
      <w:pPr>
        <w:spacing w:after="120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864B4"/>
          <w:sz w:val="28"/>
        </w:rPr>
        <w:t>🚀 Step 5: Scenario Seeding &amp; Verification</w:t>
      </w:r>
    </w:p>
    <w:p>
      <w:pPr>
        <w:spacing w:after="120"/>
      </w:pPr>
      <w:r>
        <w:t xml:space="preserve">A dedicated seeder script </w:t>
      </w:r>
      <w:r>
        <w:rPr>
          <w:rFonts w:ascii="Courier New" w:hAnsi="Courier New"/>
          <w:color w:val="B42828"/>
          <w:sz w:val="20"/>
        </w:rPr>
        <w:t>backend/app/tests/seed_scenarios_db.py</w:t>
      </w:r>
      <w:r>
        <w:t xml:space="preserve"> was created and run to register the three standard demo scenarios from </w:t>
      </w:r>
      <w:r>
        <w:rPr>
          <w:rFonts w:ascii="Courier New" w:hAnsi="Courier New"/>
          <w:color w:val="B42828"/>
          <w:sz w:val="20"/>
        </w:rPr>
        <w:t>Demo_Scenarios.txt</w:t>
      </w:r>
      <w:r>
        <w:t>:</w:t>
      </w:r>
    </w:p>
    <w:p>
      <w:pPr>
        <w:spacing w:after="120"/>
      </w:pPr>
      <w:r>
        <w:t xml:space="preserve">1. </w:t>
      </w:r>
      <w:r>
        <w:rPr>
          <w:b/>
        </w:rPr>
        <w:t>Scenario 1 (HR &amp; Compliance)</w:t>
      </w:r>
      <w:r>
        <w:t>:</w:t>
      </w:r>
    </w:p>
    <w:p>
      <w:pPr>
        <w:pStyle w:val="ListBullet"/>
        <w:spacing w:after="60"/>
      </w:pPr>
      <w:r>
        <w:t xml:space="preserve">Department: </w:t>
      </w:r>
      <w:r>
        <w:rPr>
          <w:rFonts w:ascii="Courier New" w:hAnsi="Courier New"/>
          <w:color w:val="B42828"/>
          <w:sz w:val="20"/>
        </w:rPr>
        <w:t>Human Resources &amp; Compliance</w:t>
      </w:r>
      <w:r>
        <w:t xml:space="preserve"> (</w:t>
      </w:r>
      <w:r>
        <w:rPr>
          <w:rFonts w:ascii="Courier New" w:hAnsi="Courier New"/>
          <w:color w:val="B42828"/>
          <w:sz w:val="20"/>
        </w:rPr>
        <w:t>DEPT-HR-001</w:t>
      </w:r>
      <w:r>
        <w:t>)</w:t>
      </w:r>
    </w:p>
    <w:p>
      <w:pPr>
        <w:pStyle w:val="ListBullet"/>
        <w:spacing w:after="60"/>
      </w:pPr>
      <w:r>
        <w:t xml:space="preserve">User: </w:t>
      </w:r>
      <w:r>
        <w:rPr>
          <w:rFonts w:ascii="Courier New" w:hAnsi="Courier New"/>
          <w:color w:val="B42828"/>
          <w:sz w:val="20"/>
        </w:rPr>
        <w:t>Sarah Jenkins</w:t>
      </w:r>
      <w:r>
        <w:t xml:space="preserve"> (</w:t>
      </w:r>
      <w:r>
        <w:rPr>
          <w:rFonts w:ascii="Courier New" w:hAnsi="Courier New"/>
          <w:color w:val="B42828"/>
          <w:sz w:val="20"/>
        </w:rPr>
        <w:t>sjenkins@guardianiq.com</w:t>
      </w:r>
      <w:r>
        <w:t>)</w:t>
      </w:r>
    </w:p>
    <w:p>
      <w:pPr>
        <w:pStyle w:val="ListBullet"/>
        <w:spacing w:after="60"/>
      </w:pPr>
      <w:r>
        <w:t xml:space="preserve">Data Source: </w:t>
      </w:r>
      <w:r>
        <w:rPr>
          <w:rFonts w:ascii="Courier New" w:hAnsi="Courier New"/>
          <w:color w:val="B42828"/>
          <w:sz w:val="20"/>
        </w:rPr>
        <w:t>Workday Employee Roster</w:t>
      </w:r>
      <w:r>
        <w:t xml:space="preserve"> (</w:t>
      </w:r>
      <w:r>
        <w:rPr>
          <w:rFonts w:ascii="Courier New" w:hAnsi="Courier New"/>
          <w:color w:val="B42828"/>
          <w:sz w:val="20"/>
        </w:rPr>
        <w:t>DS-HR-WORKDAY</w:t>
      </w:r>
      <w:r>
        <w:t>)</w:t>
      </w:r>
    </w:p>
    <w:p>
      <w:pPr>
        <w:pStyle w:val="ListBullet"/>
        <w:spacing w:after="60"/>
      </w:pPr>
      <w:r>
        <w:t xml:space="preserve">Model: </w:t>
      </w:r>
      <w:r>
        <w:rPr>
          <w:rFonts w:ascii="Courier New" w:hAnsi="Courier New"/>
          <w:color w:val="B42828"/>
          <w:sz w:val="20"/>
        </w:rPr>
        <w:t>Legal &amp; Compliance Document Analyzer</w:t>
      </w:r>
      <w:r>
        <w:t xml:space="preserve"> (</w:t>
      </w:r>
      <w:r>
        <w:rPr>
          <w:rFonts w:ascii="Courier New" w:hAnsi="Courier New"/>
          <w:color w:val="B42828"/>
          <w:sz w:val="20"/>
        </w:rPr>
        <w:t>LLM-COMPLIANCE-DOCS</w:t>
      </w:r>
      <w:r>
        <w:t>)</w:t>
      </w:r>
    </w:p>
    <w:p>
      <w:pPr>
        <w:pStyle w:val="ListBullet"/>
        <w:spacing w:after="60"/>
      </w:pPr>
      <w:r>
        <w:t xml:space="preserve">Agent: </w:t>
      </w:r>
      <w:r>
        <w:rPr>
          <w:rFonts w:ascii="Courier New" w:hAnsi="Courier New"/>
          <w:color w:val="B42828"/>
          <w:sz w:val="20"/>
        </w:rPr>
        <w:t>Autonomous Onboarding Coordinator</w:t>
      </w:r>
      <w:r>
        <w:t xml:space="preserve"> (</w:t>
      </w:r>
      <w:r>
        <w:rPr>
          <w:rFonts w:ascii="Courier New" w:hAnsi="Courier New"/>
          <w:color w:val="B42828"/>
          <w:sz w:val="20"/>
        </w:rPr>
        <w:t>AGENT-ONBOARD-01</w:t>
      </w:r>
      <w:r>
        <w:t>)</w:t>
      </w:r>
    </w:p>
    <w:p>
      <w:pPr>
        <w:pStyle w:val="ListBullet"/>
        <w:spacing w:after="60"/>
      </w:pPr>
      <w:r>
        <w:t xml:space="preserve">Workflow: </w:t>
      </w:r>
      <w:r>
        <w:rPr>
          <w:rFonts w:ascii="Courier New" w:hAnsi="Courier New"/>
          <w:color w:val="B42828"/>
          <w:sz w:val="20"/>
        </w:rPr>
        <w:t>Automated NDA &amp; Employee Setup</w:t>
      </w:r>
      <w:r>
        <w:t xml:space="preserve"> (</w:t>
      </w:r>
      <w:r>
        <w:rPr>
          <w:rFonts w:ascii="Courier New" w:hAnsi="Courier New"/>
          <w:color w:val="B42828"/>
          <w:sz w:val="20"/>
        </w:rPr>
        <w:t>WF-ONBOARDING-PIPELINE</w:t>
      </w:r>
      <w:r>
        <w:t>)</w:t>
      </w:r>
    </w:p>
    <w:p>
      <w:pPr>
        <w:pStyle w:val="ListBullet"/>
        <w:spacing w:after="60"/>
      </w:pPr>
      <w:r>
        <w:t xml:space="preserve">Relationships established: Agent </w:t>
      </w:r>
      <w:r>
        <w:rPr>
          <w:b/>
        </w:rPr>
        <w:t>USES</w:t>
      </w:r>
      <w:r>
        <w:t xml:space="preserve"> Model, Agent </w:t>
      </w:r>
      <w:r>
        <w:rPr>
          <w:b/>
        </w:rPr>
        <w:t>EXECUTES</w:t>
      </w:r>
      <w:r>
        <w:t xml:space="preserve"> Workflow, Workflow </w:t>
      </w:r>
      <w:r>
        <w:rPr>
          <w:b/>
        </w:rPr>
        <w:t>USES</w:t>
      </w:r>
      <w:r>
        <w:t xml:space="preserve"> Data Source.</w:t>
      </w:r>
    </w:p>
    <w:p>
      <w:pPr>
        <w:spacing w:after="120"/>
      </w:pPr>
      <w:r>
        <w:t xml:space="preserve">2. </w:t>
      </w:r>
      <w:r>
        <w:rPr>
          <w:b/>
        </w:rPr>
        <w:t>Scenario 2 (Customer Support)</w:t>
      </w:r>
      <w:r>
        <w:t>:</w:t>
      </w:r>
    </w:p>
    <w:p>
      <w:pPr>
        <w:pStyle w:val="ListBullet"/>
        <w:spacing w:after="60"/>
      </w:pPr>
      <w:r>
        <w:t xml:space="preserve">Department: </w:t>
      </w:r>
      <w:r>
        <w:rPr>
          <w:rFonts w:ascii="Courier New" w:hAnsi="Courier New"/>
          <w:color w:val="B42828"/>
          <w:sz w:val="20"/>
        </w:rPr>
        <w:t>Global Customer Support</w:t>
      </w:r>
      <w:r>
        <w:t xml:space="preserve"> (</w:t>
      </w:r>
      <w:r>
        <w:rPr>
          <w:rFonts w:ascii="Courier New" w:hAnsi="Courier New"/>
          <w:color w:val="B42828"/>
          <w:sz w:val="20"/>
        </w:rPr>
        <w:t>DEPT-SUP-002</w:t>
      </w:r>
      <w:r>
        <w:t>)</w:t>
      </w:r>
    </w:p>
    <w:p>
      <w:pPr>
        <w:pStyle w:val="ListBullet"/>
        <w:spacing w:after="60"/>
      </w:pPr>
      <w:r>
        <w:t xml:space="preserve">User: </w:t>
      </w:r>
      <w:r>
        <w:rPr>
          <w:rFonts w:ascii="Courier New" w:hAnsi="Courier New"/>
          <w:color w:val="B42828"/>
          <w:sz w:val="20"/>
        </w:rPr>
        <w:t>Michael Chang</w:t>
      </w:r>
      <w:r>
        <w:t xml:space="preserve"> (</w:t>
      </w:r>
      <w:r>
        <w:rPr>
          <w:rFonts w:ascii="Courier New" w:hAnsi="Courier New"/>
          <w:color w:val="B42828"/>
          <w:sz w:val="20"/>
        </w:rPr>
        <w:t>mchang@guardianiq.com</w:t>
      </w:r>
      <w:r>
        <w:t>)</w:t>
      </w:r>
    </w:p>
    <w:p>
      <w:pPr>
        <w:pStyle w:val="ListBullet"/>
        <w:spacing w:after="60"/>
      </w:pPr>
      <w:r>
        <w:t xml:space="preserve">Tool: </w:t>
      </w:r>
      <w:r>
        <w:rPr>
          <w:rFonts w:ascii="Courier New" w:hAnsi="Courier New"/>
          <w:color w:val="B42828"/>
          <w:sz w:val="20"/>
        </w:rPr>
        <w:t>Stripe Refund API</w:t>
      </w:r>
      <w:r>
        <w:t xml:space="preserve"> (</w:t>
      </w:r>
      <w:r>
        <w:rPr>
          <w:rFonts w:ascii="Courier New" w:hAnsi="Courier New"/>
          <w:color w:val="B42828"/>
          <w:sz w:val="20"/>
        </w:rPr>
        <w:t>API-REFUND-STRIPE</w:t>
      </w:r>
      <w:r>
        <w:t>)</w:t>
      </w:r>
    </w:p>
    <w:p>
      <w:pPr>
        <w:pStyle w:val="ListBullet"/>
        <w:spacing w:after="60"/>
      </w:pPr>
      <w:r>
        <w:t xml:space="preserve">Model: </w:t>
      </w:r>
      <w:r>
        <w:rPr>
          <w:rFonts w:ascii="Courier New" w:hAnsi="Courier New"/>
          <w:color w:val="B42828"/>
          <w:sz w:val="20"/>
        </w:rPr>
        <w:t>Support Refund Classifier v2</w:t>
      </w:r>
      <w:r>
        <w:t xml:space="preserve"> (</w:t>
      </w:r>
      <w:r>
        <w:rPr>
          <w:rFonts w:ascii="Courier New" w:hAnsi="Courier New"/>
          <w:color w:val="B42828"/>
          <w:sz w:val="20"/>
        </w:rPr>
        <w:t>LLM-SUPPORT-001</w:t>
      </w:r>
      <w:r>
        <w:t>)</w:t>
      </w:r>
    </w:p>
    <w:p>
      <w:pPr>
        <w:pStyle w:val="ListBullet"/>
        <w:spacing w:after="60"/>
      </w:pPr>
      <w:r>
        <w:t xml:space="preserve">Agent: </w:t>
      </w:r>
      <w:r>
        <w:rPr>
          <w:rFonts w:ascii="Courier New" w:hAnsi="Courier New"/>
          <w:color w:val="B42828"/>
          <w:sz w:val="20"/>
        </w:rPr>
        <w:t>Autonomous Refund Agent</w:t>
      </w:r>
      <w:r>
        <w:t xml:space="preserve"> (</w:t>
      </w:r>
      <w:r>
        <w:rPr>
          <w:rFonts w:ascii="Courier New" w:hAnsi="Courier New"/>
          <w:color w:val="B42828"/>
          <w:sz w:val="20"/>
        </w:rPr>
        <w:t>AGENT-REFUND-BOT</w:t>
      </w:r>
      <w:r>
        <w:t>)</w:t>
      </w:r>
    </w:p>
    <w:p>
      <w:pPr>
        <w:pStyle w:val="ListBullet"/>
        <w:spacing w:after="60"/>
      </w:pPr>
      <w:r>
        <w:t xml:space="preserve">Workflow: </w:t>
      </w:r>
      <w:r>
        <w:rPr>
          <w:rFonts w:ascii="Courier New" w:hAnsi="Courier New"/>
          <w:color w:val="B42828"/>
          <w:sz w:val="20"/>
        </w:rPr>
        <w:t>Automated Refund Processing</w:t>
      </w:r>
      <w:r>
        <w:t xml:space="preserve"> (</w:t>
      </w:r>
      <w:r>
        <w:rPr>
          <w:rFonts w:ascii="Courier New" w:hAnsi="Courier New"/>
          <w:color w:val="B42828"/>
          <w:sz w:val="20"/>
        </w:rPr>
        <w:t>WF-AUTO-REFUND</w:t>
      </w:r>
      <w:r>
        <w:t>)</w:t>
      </w:r>
    </w:p>
    <w:p>
      <w:pPr>
        <w:pStyle w:val="ListBullet"/>
        <w:spacing w:after="60"/>
      </w:pPr>
      <w:r>
        <w:t xml:space="preserve">Relationships established: Agent </w:t>
      </w:r>
      <w:r>
        <w:rPr>
          <w:b/>
        </w:rPr>
        <w:t>USES</w:t>
      </w:r>
      <w:r>
        <w:t xml:space="preserve"> Model, Agent </w:t>
      </w:r>
      <w:r>
        <w:rPr>
          <w:b/>
        </w:rPr>
        <w:t>EXECUTES</w:t>
      </w:r>
      <w:r>
        <w:t xml:space="preserve"> Workflow, Workflow </w:t>
      </w:r>
      <w:r>
        <w:rPr>
          <w:b/>
        </w:rPr>
        <w:t>USES</w:t>
      </w:r>
      <w:r>
        <w:t xml:space="preserve"> Tool.</w:t>
      </w:r>
    </w:p>
    <w:p>
      <w:pPr>
        <w:spacing w:after="120"/>
      </w:pPr>
      <w:r>
        <w:t xml:space="preserve">3. </w:t>
      </w:r>
      <w:r>
        <w:rPr>
          <w:b/>
        </w:rPr>
        <w:t>Scenario 3 (Finance &amp; Risk)</w:t>
      </w:r>
      <w:r>
        <w:t>:</w:t>
      </w:r>
    </w:p>
    <w:p>
      <w:pPr>
        <w:pStyle w:val="ListBullet"/>
        <w:spacing w:after="60"/>
      </w:pPr>
      <w:r>
        <w:t xml:space="preserve">Department: </w:t>
      </w:r>
      <w:r>
        <w:rPr>
          <w:rFonts w:ascii="Courier New" w:hAnsi="Courier New"/>
          <w:color w:val="B42828"/>
          <w:sz w:val="20"/>
        </w:rPr>
        <w:t>Finance &amp; Risk Management</w:t>
      </w:r>
      <w:r>
        <w:t xml:space="preserve"> (</w:t>
      </w:r>
      <w:r>
        <w:rPr>
          <w:rFonts w:ascii="Courier New" w:hAnsi="Courier New"/>
          <w:color w:val="B42828"/>
          <w:sz w:val="20"/>
        </w:rPr>
        <w:t>DEPT-FIN-003</w:t>
      </w:r>
      <w:r>
        <w:t>)</w:t>
      </w:r>
    </w:p>
    <w:p>
      <w:pPr>
        <w:pStyle w:val="ListBullet"/>
        <w:spacing w:after="60"/>
      </w:pPr>
      <w:r>
        <w:t xml:space="preserve">User: </w:t>
      </w:r>
      <w:r>
        <w:rPr>
          <w:rFonts w:ascii="Courier New" w:hAnsi="Courier New"/>
          <w:color w:val="B42828"/>
          <w:sz w:val="20"/>
        </w:rPr>
        <w:t>Elena Rodriguez</w:t>
      </w:r>
      <w:r>
        <w:t xml:space="preserve"> (</w:t>
      </w:r>
      <w:r>
        <w:rPr>
          <w:rFonts w:ascii="Courier New" w:hAnsi="Courier New"/>
          <w:color w:val="B42828"/>
          <w:sz w:val="20"/>
        </w:rPr>
        <w:t>erodriguez@guardianiq.com</w:t>
      </w:r>
      <w:r>
        <w:t>)</w:t>
      </w:r>
    </w:p>
    <w:p>
      <w:pPr>
        <w:pStyle w:val="ListBullet"/>
        <w:spacing w:after="60"/>
      </w:pPr>
      <w:r>
        <w:t xml:space="preserve">Data Source: </w:t>
      </w:r>
      <w:r>
        <w:rPr>
          <w:rFonts w:ascii="Courier New" w:hAnsi="Courier New"/>
          <w:color w:val="B42828"/>
          <w:sz w:val="20"/>
        </w:rPr>
        <w:t>Transaction Ledger Database</w:t>
      </w:r>
      <w:r>
        <w:t xml:space="preserve"> (</w:t>
      </w:r>
      <w:r>
        <w:rPr>
          <w:rFonts w:ascii="Courier New" w:hAnsi="Courier New"/>
          <w:color w:val="B42828"/>
          <w:sz w:val="20"/>
        </w:rPr>
        <w:t>DS-FIN-LEDGER</w:t>
      </w:r>
      <w:r>
        <w:t>)</w:t>
      </w:r>
    </w:p>
    <w:p>
      <w:pPr>
        <w:pStyle w:val="ListBullet"/>
        <w:spacing w:after="60"/>
      </w:pPr>
      <w:r>
        <w:t xml:space="preserve">Tool: </w:t>
      </w:r>
      <w:r>
        <w:rPr>
          <w:rFonts w:ascii="Courier New" w:hAnsi="Courier New"/>
          <w:color w:val="B42828"/>
          <w:sz w:val="20"/>
        </w:rPr>
        <w:t>Core Banking Account Freeze API</w:t>
      </w:r>
      <w:r>
        <w:t xml:space="preserve"> (</w:t>
      </w:r>
      <w:r>
        <w:rPr>
          <w:rFonts w:ascii="Courier New" w:hAnsi="Courier New"/>
          <w:color w:val="B42828"/>
          <w:sz w:val="20"/>
        </w:rPr>
        <w:t>API-ACCOUNT-FREEZE</w:t>
      </w:r>
      <w:r>
        <w:t>)</w:t>
      </w:r>
    </w:p>
    <w:p>
      <w:pPr>
        <w:pStyle w:val="ListBullet"/>
        <w:spacing w:after="60"/>
      </w:pPr>
      <w:r>
        <w:t xml:space="preserve">Model: </w:t>
      </w:r>
      <w:r>
        <w:rPr>
          <w:rFonts w:ascii="Courier New" w:hAnsi="Courier New"/>
          <w:color w:val="B42828"/>
          <w:sz w:val="20"/>
        </w:rPr>
        <w:t>Transaction Anomaly Detector</w:t>
      </w:r>
      <w:r>
        <w:t xml:space="preserve"> (</w:t>
      </w:r>
      <w:r>
        <w:rPr>
          <w:rFonts w:ascii="Courier New" w:hAnsi="Courier New"/>
          <w:color w:val="B42828"/>
          <w:sz w:val="20"/>
        </w:rPr>
        <w:t>ML-FRAUD-DETECT-V4</w:t>
      </w:r>
      <w:r>
        <w:t>)</w:t>
      </w:r>
    </w:p>
    <w:p>
      <w:pPr>
        <w:pStyle w:val="ListBullet"/>
        <w:spacing w:after="60"/>
      </w:pPr>
      <w:r>
        <w:t xml:space="preserve">Agent: </w:t>
      </w:r>
      <w:r>
        <w:rPr>
          <w:rFonts w:ascii="Courier New" w:hAnsi="Courier New"/>
          <w:color w:val="B42828"/>
          <w:sz w:val="20"/>
        </w:rPr>
        <w:t>Autonomous Fraud Sentinel</w:t>
      </w:r>
      <w:r>
        <w:t xml:space="preserve"> (</w:t>
      </w:r>
      <w:r>
        <w:rPr>
          <w:rFonts w:ascii="Courier New" w:hAnsi="Courier New"/>
          <w:color w:val="B42828"/>
          <w:sz w:val="20"/>
        </w:rPr>
        <w:t>AGENT-FRAUD-SENTINEL</w:t>
      </w:r>
      <w:r>
        <w:t>)</w:t>
      </w:r>
    </w:p>
    <w:p>
      <w:pPr>
        <w:pStyle w:val="ListBullet"/>
        <w:spacing w:after="60"/>
      </w:pPr>
      <w:r>
        <w:t xml:space="preserve">Workflow: </w:t>
      </w:r>
      <w:r>
        <w:rPr>
          <w:rFonts w:ascii="Courier New" w:hAnsi="Courier New"/>
          <w:color w:val="B42828"/>
          <w:sz w:val="20"/>
        </w:rPr>
        <w:t>Zero-Day Fraud Freeze Protocol</w:t>
      </w:r>
      <w:r>
        <w:t xml:space="preserve"> (</w:t>
      </w:r>
      <w:r>
        <w:rPr>
          <w:rFonts w:ascii="Courier New" w:hAnsi="Courier New"/>
          <w:color w:val="B42828"/>
          <w:sz w:val="20"/>
        </w:rPr>
        <w:t>WF-FRAUD-FREEZE</w:t>
      </w:r>
      <w:r>
        <w:t>)</w:t>
      </w:r>
    </w:p>
    <w:p>
      <w:pPr>
        <w:pStyle w:val="ListBullet"/>
        <w:spacing w:after="60"/>
      </w:pPr>
      <w:r>
        <w:t xml:space="preserve">Relationships established: Agent </w:t>
      </w:r>
      <w:r>
        <w:rPr>
          <w:b/>
        </w:rPr>
        <w:t>USES</w:t>
      </w:r>
      <w:r>
        <w:t xml:space="preserve"> Model, Agent </w:t>
      </w:r>
      <w:r>
        <w:rPr>
          <w:b/>
        </w:rPr>
        <w:t>EXECUTES</w:t>
      </w:r>
      <w:r>
        <w:t xml:space="preserve"> Workflow, Workflow </w:t>
      </w:r>
      <w:r>
        <w:rPr>
          <w:b/>
        </w:rPr>
        <w:t>USES</w:t>
      </w:r>
      <w:r>
        <w:t xml:space="preserve"> Data Source, Workflow </w:t>
      </w:r>
      <w:r>
        <w:rPr>
          <w:b/>
        </w:rPr>
        <w:t>USES</w:t>
      </w:r>
      <w:r>
        <w:t xml:space="preserve"> Tool.</w:t>
      </w:r>
    </w:p>
    <w:p>
      <w:pPr>
        <w:spacing w:after="120"/>
      </w:pPr>
      <w:r>
        <w:t>---</w:t>
      </w:r>
    </w:p>
    <w:p>
      <w:pPr>
        <w:pStyle w:val="Heading2"/>
        <w:spacing w:before="280" w:after="120"/>
      </w:pPr>
      <w:r>
        <w:rPr>
          <w:rFonts w:ascii="Arial" w:hAnsi="Arial"/>
          <w:b/>
          <w:color w:val="2864B4"/>
          <w:sz w:val="28"/>
        </w:rPr>
        <w:t>📈 Post-Execution Verification Audit</w:t>
      </w:r>
    </w:p>
    <w:p>
      <w:pPr>
        <w:pStyle w:val="ListBullet"/>
        <w:spacing w:after="60"/>
      </w:pPr>
      <w:r/>
      <w:r>
        <w:rPr>
          <w:b/>
        </w:rPr>
        <w:t>Continuous Backend Operation</w:t>
      </w:r>
      <w:r>
        <w:t>: The backend runs continuously without throwing uncaught exceptions.</w:t>
      </w:r>
    </w:p>
    <w:p>
      <w:pPr>
        <w:pStyle w:val="ListBullet"/>
        <w:spacing w:after="60"/>
      </w:pPr>
      <w:r/>
      <w:r>
        <w:rPr>
          <w:b/>
        </w:rPr>
        <w:t>Notification Fallback Logging</w:t>
      </w:r>
      <w:r>
        <w:t xml:space="preserve">: Mock email notifications for </w:t>
      </w:r>
      <w:r>
        <w:rPr>
          <w:rFonts w:ascii="Courier New" w:hAnsi="Courier New"/>
          <w:color w:val="B42828"/>
          <w:sz w:val="20"/>
        </w:rPr>
        <w:t>Automated NDA &amp; Employee Setup</w:t>
      </w:r>
      <w:r>
        <w:t xml:space="preserve"> and </w:t>
      </w:r>
      <w:r>
        <w:rPr>
          <w:rFonts w:ascii="Courier New" w:hAnsi="Courier New"/>
          <w:color w:val="B42828"/>
          <w:sz w:val="20"/>
        </w:rPr>
        <w:t>Automated Refund Processing</w:t>
      </w:r>
      <w:r>
        <w:t xml:space="preserve"> were triggered and verified inside </w:t>
      </w:r>
      <w:r>
        <w:rPr>
          <w:rFonts w:ascii="Courier New" w:hAnsi="Courier New"/>
          <w:color w:val="B42828"/>
          <w:sz w:val="20"/>
        </w:rPr>
        <w:t>backend/logs/notifications.log</w:t>
      </w:r>
      <w:r>
        <w:t>:</w:t>
      </w:r>
    </w:p>
    <w:p>
      <w:pPr>
        <w:ind w:left="360" w:right="360"/>
        <w:pBdr>
          <w:left w:val="single" w:sz="24" w:space="4" w:color="CCCCCC"/>
        </w:pBdr>
        <w:shd w:fill="F5F5F5"/>
      </w:pPr>
      <w:r>
        <w:rPr>
          <w:rFonts w:ascii="Courier New" w:hAnsi="Courier New"/>
          <w:color w:val="505050"/>
          <w:sz w:val="19"/>
        </w:rPr>
        <w:t xml:space="preserve">  --- EMAIL ALERT ---</w:t>
        <w:br/>
        <w:t xml:space="preserve">  To: sjenkins@guardianiq.com</w:t>
        <w:br/>
        <w:t xml:space="preserve">  Subject: Action Required: Approve Workflow 'Automated NDA &amp; Employee Setup'</w:t>
        <w:br/>
        <w:t xml:space="preserve">  Body: Hello, User 'Sarah Jenkins' has requested your approval for the workflow 'Automated NDA &amp; Employee Setup'.</w:t>
        <w:br/>
        <w:t xml:space="preserve">  </w:t>
        <w:br/>
        <w:t xml:space="preserve">  --- EMAIL ALERT ---</w:t>
        <w:br/>
        <w:t xml:space="preserve">  To: mchang@guardianiq.com</w:t>
        <w:br/>
        <w:t xml:space="preserve">  Subject: Action Required: Approve Workflow 'Automated Refund Processing'</w:t>
        <w:br/>
        <w:t xml:space="preserve">  Body: Hello, User 'Michael Chang' has requested your approval for the workflow 'Automated Refund Processing'.</w:t>
      </w:r>
    </w:p>
    <w:p>
      <w:pPr>
        <w:pStyle w:val="ListBullet"/>
        <w:spacing w:after="60"/>
      </w:pPr>
      <w:r/>
      <w:r>
        <w:rPr>
          <w:b/>
        </w:rPr>
        <w:t>Relationship Map Visualizer</w:t>
      </w:r>
      <w:r>
        <w:t>: Complex outward and inward relationships are successfully resolved in the database to drive the relationship visualizer on the frontend.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