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52"/>
        </w:rPr>
        <w:t>GUARDIANIQ PHASE 4</w:t>
      </w:r>
    </w:p>
    <w:p>
      <w:pPr>
        <w:spacing w:before="0" w:after="280"/>
      </w:pPr>
      <w:r>
        <w:rPr>
          <w:rFonts w:ascii="Calibri" w:hAnsi="Calibri"/>
          <w:color w:val="0284C7"/>
          <w:sz w:val="28"/>
        </w:rPr>
        <w:t>Executive Live Demonstration Script — Event Explorer &amp; AI Governance Ledger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Release Version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GuardianIQ v4.0.0-rc1 (Phase 4 Audit &amp; Governance Package)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Featured AI Agent Entity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Financial Analysis Bot (ID: d6a3cb9e-11a8-4004-b82f-a38e33790df0)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Featured AI Model Entity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GPT-4o Enterprise Model (ID: mdl_gpt4_gov)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Trace Correlation ID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5c3c5751-3232-4a3f-85ec-247d55077c03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color w:val="334155"/>
                <w:sz w:val="19"/>
              </w:rPr>
              <w:t>Enterprise Security Auditors, Compliance Officers, PMs, Executive Leadership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1. Demonstration Overview &amp; Storyline</w:t>
      </w:r>
    </w:p>
    <w:p>
      <w:pPr>
        <w:spacing w:after="120"/>
      </w:pPr>
      <w:r>
        <w:t>This demonstration script guides presenters through a end-to-end walkthrough of GuardianIQ Phase 4's Audit &amp; Governance module. The scenario models an enterprise financial workflow executed by an autonomous AI Agent (</w:t>
      </w:r>
      <w:r>
        <w:rPr>
          <w:b/>
        </w:rPr>
        <w:t>Financial Analysis Bot</w:t>
      </w:r>
      <w:r>
        <w:t>) connected to an enterprise AI Model (</w:t>
      </w:r>
      <w:r>
        <w:rPr>
          <w:b/>
        </w:rPr>
        <w:t>GPT-4o Enterprise</w:t>
      </w:r>
      <w:r>
        <w:t>). Presenters will demonstrate live event stream exploration, cryptographic hash validation, multi-step timeline tracing, policy violation interception, dead-letter outbox recovery, and automated compliance export generation.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284C7"/>
                <w:sz w:val="21"/>
              </w:rPr>
              <w:t>📌 PREREQUISITE SETUP</w:t>
              <w:br/>
            </w:r>
            <w:r>
              <w:rPr>
                <w:rFonts w:ascii="Calibri" w:hAnsi="Calibri"/>
                <w:color w:val="334155"/>
                <w:sz w:val="20"/>
              </w:rPr>
              <w:t>Ensure the local stack is running (Backend API on port 8000, React Frontend on port 5173).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334155"/>
                <w:sz w:val="20"/>
              </w:rPr>
              <w:t>Seed database events by executing: python backend/scripts/populate_phase4_events.py before starting the demo.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2. Step-by-Step Live Demonstration Script</w:t>
      </w: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1: Event Explorer &amp; Live Stream Filtering (/audit)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Route: </w:t>
      </w:r>
      <w:r>
        <w:t>/audit (Page Component: AuditPage.tsx)</w:t>
        <w:br/>
      </w:r>
      <w:r>
        <w:rPr>
          <w:b/>
        </w:rPr>
        <w:t xml:space="preserve">🎯 Objective: </w:t>
      </w:r>
      <w:r>
        <w:t>Show high-throughput searchable governance stream &amp; multi-dimensional filters.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1.1: Open Event Explorer</w:t>
              <w:br/>
              <w:t>Navigating to /audit dashboard.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"Welcome everyone. What you see on screen is the GuardianIQ Phase 4 Event Explorer. Every interaction across our enterprise AI agents, models, policy checks, and boundary transfers is immutably captured into canonical Event Envelope 2.0 structures in real time."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1.2: Demonstrate Live Filtering</w:t>
              <w:br/>
              <w:t>Filter Category to 'Agent' &amp; Classification to 'INTERNAL'.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"Let's filter down our governance stream. As I select Category: 'Agent' and Classification: 'INTERNAL', you can see the table instantly updates. We can pinpoint specific entity streams, such as our Financial Analysis Bot (ID: d6a3cb9e-11a8-4004-b82f-a38e33790df0)."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2: Canonical Event Envelope Inspection (EventDrawer.tsx)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Component: </w:t>
      </w:r>
      <w:r>
        <w:t>EventDrawer.tsx (Triggered from row click)</w:t>
        <w:br/>
      </w:r>
      <w:r>
        <w:rPr>
          <w:b/>
        </w:rPr>
        <w:t xml:space="preserve">🎯 Objective: </w:t>
      </w:r>
      <w:r>
        <w:t>Inspect 20-field canonical event envelope, cryptographic SHA-256 hash, and payload redaction.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2.1: Open Slide-over Drawer</w:t>
              <w:br/>
              <w:t>Clicking row WORKFLOW_RUN_STARTED for agent d6a3cb9e...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"By clicking any row, GuardianIQ launches our shared EventDrawer component. Notice the prominent green badge at the top: 'Canonical Envelope 2.0 Hash Verified'. GuardianIQ computes a SHA-256 hash over every event envelope upon ingestion. If any payload or metadata field were tampered with, this hash validation would fail immediately."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2.2: Highlight Actor &amp; Subject Context</w:t>
              <w:br/>
              <w:t>Examine Actor JSON and Subject JSON sections.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"Notice the rich actor context: User ID usr_admin_01 initiated this run with role ADMIN from IP 192.168.1.45. The subject entity is explicitly tagged as entity_type: 'agents' and entity_id: 'd6a3cb9e-11a8-4004-b82f-a38e33790df0'. Below, sensitive payload attributes are automatically masked with [REDACTED] to maintain data privacy compliance."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3: Subject &amp; Correlation Timeline Visualizer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Routes: </w:t>
      </w:r>
      <w:r>
        <w:t>/audit/timeline/agents/d6a3cb9e-11a8-4004-b82f-a38e33790df0 &amp; /audit/events/correlation/5c3c5751-3232-4a3f-85ec-247d55077c03</w:t>
        <w:br/>
      </w:r>
      <w:r>
        <w:rPr>
          <w:b/>
        </w:rPr>
        <w:t xml:space="preserve">🎯 Objective: </w:t>
      </w:r>
      <w:r>
        <w:t>Demonstrate chronological visual lineage &amp; causation chain for the AI Agent.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3.1: Navigate to Subject Timeline</w:t>
              <w:br/>
              <w:t>Opening Subject Timeline page for agent d6a3cb9e...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"Now, let's step into the Subject Timeline view for our Financial Analysis Bot. GuardianIQ reconstructs a vertical chronological graph of every lifecycle event. We see 7 distinct steps: Run Ingestion -&gt; Policy Evaluation (POL-DATA-PRIVACY) -&gt; Model Binding (GPT-4o Enterprise) -&gt; Step Start -&gt; Boundary Check -&gt; Human Approval -&gt; Completion."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3.2: Drill into Correlation ID Trace</w:t>
              <w:br/>
              <w:t>Clicking 'Trace Correlation ID 5c3c5751...'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"Notice how every step shares Correlation ID: 5c3c5751-3232-4a3f-85ec-247d55077c03. By clicking Correlation Trace, GuardianIQ instantly isolated the multi-service execution path across workflow_scheduler, policy_engine, relationship_service, and approval_engine within milliseconds."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4: High-Risk Policy Violation &amp; Boundary Interception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Filter: </w:t>
      </w:r>
      <w:r>
        <w:t>Category: Violation / Event: SECURITY_VIOLATION_DETECTED</w:t>
        <w:br/>
      </w:r>
      <w:r>
        <w:rPr>
          <w:b/>
        </w:rPr>
        <w:t xml:space="preserve">🎯 Objective: </w:t>
      </w:r>
      <w:r>
        <w:t>Demonstrate real-time threat detection, CRITICAL risk badges, and containment.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4.1: Inspect Policy Violation Event</w:t>
              <w:br/>
              <w:t>Filtering stream for SECURITY_VIOLATION_DETECTED (Agent: agent_sec_auditor).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"What happens when an agent violates enterprise boundaries? Here in Stream 2, agent_sec_auditor attempted unauthorized PII export. GuardianIQ immediately flagged a CRITICAL risk level, registered a SECURITY_VIOLATION_DETECTED event, and engaged boundary containment—blocking the data transfer before it reached an external endpoint."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5: Dead Letter Queue (DLQ) Operational Recovery (/audit/dead-letter)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Route: </w:t>
      </w:r>
      <w:r>
        <w:t>/audit/dead-letter (DeadLetterReviewPage.tsx)</w:t>
        <w:br/>
      </w:r>
      <w:r>
        <w:rPr>
          <w:b/>
        </w:rPr>
        <w:t xml:space="preserve">🎯 Objective: </w:t>
      </w:r>
      <w:r>
        <w:t>Demonstrate zero event loss outbox architecture &amp; interactive RetryActionButton.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5.1: Navigate to Dead Letter Review</w:t>
              <w:br/>
              <w:t>Opening /audit/dead-letter inspector.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"In distributed enterprise architectures, downstream brokers can experience temporary network outages. GuardianIQ uses a transactional outbox table pattern. Here on the Dead Letter Review page, we can inspect 2 un-delivered message events targeted for downstream SIEM topics."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5.2: Click RetryActionButton</w:t>
              <w:br/>
              <w:t>Triggering manual re-queue for failed event.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"Watch as I click 'Retry Dispatch'. The button transitions to a spinning 'Retrying...' state, invokes our backend re-queue endpoint, and successfully re-dispatches the event with zero data loss!"</w:t>
            </w:r>
          </w:p>
        </w:tc>
      </w:tr>
    </w:tbl>
    <w:p>
      <w:pPr>
        <w:spacing w:after="160"/>
      </w:pPr>
    </w:p>
    <w:p>
      <w:pPr>
        <w:keepNext/>
        <w:spacing w:before="240" w:after="80"/>
      </w:pPr>
      <w:r>
        <w:rPr>
          <w:rFonts w:ascii="Calibri" w:hAnsi="Calibri"/>
          <w:b/>
          <w:color w:val="0284C7"/>
          <w:sz w:val="26"/>
        </w:rPr>
        <w:t>Act 6: Compliance Audit Trail Export Engine (/audit/export)</w:t>
      </w:r>
    </w:p>
    <w:p>
      <w:pPr>
        <w:spacing w:after="80"/>
      </w:pPr>
      <w:r>
        <w:rPr>
          <w:b/>
        </w:rPr>
        <w:t xml:space="preserve">📍 </w:t>
      </w:r>
      <w:r>
        <w:rPr>
          <w:b/>
        </w:rPr>
        <w:t xml:space="preserve">Frontend Route &amp; Component: </w:t>
      </w:r>
      <w:r>
        <w:t>/audit/export &amp; ExportModal.tsx</w:t>
        <w:br/>
      </w:r>
      <w:r>
        <w:rPr>
          <w:b/>
        </w:rPr>
        <w:t xml:space="preserve">🎯 Objective: </w:t>
      </w:r>
      <w:r>
        <w:t>Demonstrate automated SOC2 / ISO compliance package generation.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Demonstration Step &amp; Action</w:t>
            </w:r>
          </w:p>
        </w:tc>
        <w:tc>
          <w:tcPr>
            <w:tcW w:type="dxa" w:w="46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Presenter Script &amp; Spoken Narrative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6.1: Open Export Modal</w:t>
              <w:br/>
              <w:t>Clicking 'New Export Request' button.</w:t>
            </w:r>
          </w:p>
        </w:tc>
        <w:tc>
          <w:tcPr>
            <w:tcW w:type="dxa" w:w="604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"Finally, enterprise auditors require exportable evidence packages. Clicking 'New Export Request' opens our shared ExportModal. I will input Subject Entity: 'agents', ID: 'd6a3cb9e-11a8-4004-b82f-a38e33790df0', select JSON format, and enter Reason: 'Q3 SOC2 Compliance Audit'."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</w:rPr>
              <w:t>Step 6.2: Submit &amp; Download Package</w:t>
              <w:br/>
              <w:t>Submitting form &amp; clicking Download Export Bundle.</w:t>
            </w:r>
          </w:p>
        </w:tc>
        <w:tc>
          <w:tcPr>
            <w:tcW w:type="dxa" w:w="60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i/>
                <w:sz w:val="19"/>
              </w:rPr>
              <w:t>"As I submit, GuardianIQ launches a streaming export task. Within seconds, our compliance export bundle is generated, complete with SHA-256 verification manifests and full event envelope records ready for external audit presentation."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2"/>
        </w:rPr>
        <w:t>3. Executive Wrap-Up &amp; Key Value Takeaways</w:t>
      </w:r>
    </w:p>
    <w:p>
      <w:pPr>
        <w:spacing w:before="40" w:after="80"/>
      </w:pPr>
      <w:r>
        <w:rPr>
          <w:b/>
          <w:color w:val="059669"/>
        </w:rPr>
        <w:t xml:space="preserve">✔ </w:t>
      </w:r>
      <w:r>
        <w:rPr>
          <w:b/>
          <w:color w:val="0F172A"/>
        </w:rPr>
        <w:t xml:space="preserve">Cryptographic Immutability: </w:t>
      </w:r>
      <w:r>
        <w:rPr>
          <w:color w:val="334155"/>
        </w:rPr>
        <w:t>Every event envelope is signed with a SHA-256 hash upon ingestion, guaranteeing tamper-evident audit logs.</w:t>
      </w:r>
    </w:p>
    <w:p>
      <w:pPr>
        <w:spacing w:before="40" w:after="80"/>
      </w:pPr>
      <w:r>
        <w:rPr>
          <w:b/>
          <w:color w:val="059669"/>
        </w:rPr>
        <w:t xml:space="preserve">✔ </w:t>
      </w:r>
      <w:r>
        <w:rPr>
          <w:b/>
          <w:color w:val="0F172A"/>
        </w:rPr>
        <w:t xml:space="preserve">Multi-Dimensional Traceability: </w:t>
      </w:r>
      <w:r>
        <w:rPr>
          <w:color w:val="334155"/>
        </w:rPr>
        <w:t>Instant correlation tracking across microservices allows enterprise teams to trace agent decisions back to exact prompt inputs and policy checks.</w:t>
      </w:r>
    </w:p>
    <w:p>
      <w:pPr>
        <w:spacing w:before="40" w:after="80"/>
      </w:pPr>
      <w:r>
        <w:rPr>
          <w:b/>
          <w:color w:val="059669"/>
        </w:rPr>
        <w:t xml:space="preserve">✔ </w:t>
      </w:r>
      <w:r>
        <w:rPr>
          <w:b/>
          <w:color w:val="0F172A"/>
        </w:rPr>
        <w:t xml:space="preserve">Transactional Outbox Resilience: </w:t>
      </w:r>
      <w:r>
        <w:rPr>
          <w:color w:val="334155"/>
        </w:rPr>
        <w:t>Zero data loss architecture guarantees that even under network partitioning, audit events are preserved and retryable via the DLQ UI.</w:t>
      </w:r>
    </w:p>
    <w:p>
      <w:pPr>
        <w:spacing w:before="40" w:after="80"/>
      </w:pPr>
      <w:r>
        <w:rPr>
          <w:b/>
          <w:color w:val="059669"/>
        </w:rPr>
        <w:t xml:space="preserve">✔ </w:t>
      </w:r>
      <w:r>
        <w:rPr>
          <w:b/>
          <w:color w:val="0F172A"/>
        </w:rPr>
        <w:t xml:space="preserve">Audit-Ready Compliance: </w:t>
      </w:r>
      <w:r>
        <w:rPr>
          <w:color w:val="334155"/>
        </w:rPr>
        <w:t>Instant asynchronous export engine formats audit trails into standardized JSON/CSV packages with full justification logs for SOC2, HIPAA, and ISO 27001 audits.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