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color w:val="1F4E78"/>
          <w:sz w:val="24"/>
        </w:rPr>
        <w:t>BUSINESS REQUIREMENTS DOCUMENT</w:t>
      </w:r>
    </w:p>
    <w:p>
      <w:pPr>
        <w:spacing w:after="100"/>
      </w:pPr>
      <w:r>
        <w:rPr>
          <w:b/>
          <w:color w:val="232F3E"/>
          <w:sz w:val="48"/>
        </w:rPr>
        <w:t>Retail Promotion Response</w:t>
        <w:br/>
        <w:t>Optimization Dashboard</w:t>
      </w:r>
    </w:p>
    <w:p>
      <w:pPr>
        <w:spacing w:after="280"/>
      </w:pPr>
      <w:r>
        <w:rPr>
          <w:color w:val="5F6973"/>
          <w:sz w:val="24"/>
        </w:rPr>
        <w:t>Understanding customer response to improve retail promotions</w:t>
      </w:r>
    </w:p>
    <w:tbl>
      <w:tblPr>
        <w:tblStyle w:val="TableGrid"/>
        <w:tblW w:type="auto" w:w="0"/>
        <w:jc w:val="center"/>
        <w:tblLayout w:type="fixed"/>
        <w:tblLook w:firstColumn="1" w:firstRow="1" w:lastColumn="0" w:lastRow="0" w:noHBand="0" w:noVBand="1" w:val="04A0"/>
        <w:tblW w:w="9360" w:type="dxa"/>
        <w:tblInd w:w="120" w:type="dxa"/>
      </w:tblPr>
      <w:tblGrid>
        <w:gridCol w:w="2500"/>
        <w:gridCol w:w="6860"/>
      </w:tblGrid>
      <w:tr>
        <w:trPr>
          <w:cantSplit/>
        </w:trPr>
        <w:tc>
          <w:tcPr>
            <w:tcW w:type="dxa" w:w="2500"/>
            <w:shd w:fill="F5F7F9"/>
            <w:vAlign w:val="center"/>
            <w:tcMar>
              <w:top w:w="90" w:type="dxa"/>
              <w:start w:w="120" w:type="dxa"/>
              <w:bottom w:w="90" w:type="dxa"/>
              <w:end w:w="120" w:type="dxa"/>
            </w:tcMar>
          </w:tcPr>
          <w:p>
            <w:pPr>
              <w:spacing w:after="40" w:line="252" w:lineRule="auto"/>
            </w:pPr>
            <w:r>
              <w:rPr>
                <w:rFonts w:ascii="Calibri" w:hAnsi="Calibri"/>
                <w:b/>
                <w:sz w:val="19"/>
              </w:rPr>
              <w:t>Project sponsor / manager</w:t>
            </w:r>
          </w:p>
        </w:tc>
        <w:tc>
          <w:tcPr>
            <w:tcW w:type="dxa" w:w="6860"/>
            <w:vAlign w:val="center"/>
            <w:tcMar>
              <w:top w:w="90" w:type="dxa"/>
              <w:start w:w="120" w:type="dxa"/>
              <w:bottom w:w="90" w:type="dxa"/>
              <w:end w:w="120" w:type="dxa"/>
            </w:tcMar>
            <w:shd w:fill="F5F7F9"/>
          </w:tcPr>
          <w:p>
            <w:pPr>
              <w:spacing w:after="40" w:line="252" w:lineRule="auto"/>
            </w:pPr>
            <w:r>
              <w:rPr>
                <w:rFonts w:ascii="Calibri" w:hAnsi="Calibri"/>
                <w:sz w:val="19"/>
              </w:rPr>
              <w:t>Saurabh</w:t>
            </w:r>
          </w:p>
        </w:tc>
      </w:tr>
      <w:tr>
        <w:trPr>
          <w:cantSplit/>
        </w:trPr>
        <w:tc>
          <w:tcPr>
            <w:tcW w:type="dxa" w:w="2500"/>
            <w:shd w:fill="EAF2F8"/>
            <w:vAlign w:val="center"/>
            <w:tcMar>
              <w:top w:w="90" w:type="dxa"/>
              <w:start w:w="120" w:type="dxa"/>
              <w:bottom w:w="90" w:type="dxa"/>
              <w:end w:w="120" w:type="dxa"/>
            </w:tcMar>
          </w:tcPr>
          <w:p>
            <w:pPr>
              <w:spacing w:after="40" w:line="252" w:lineRule="auto"/>
            </w:pPr>
            <w:r>
              <w:rPr>
                <w:rFonts w:ascii="Calibri" w:hAnsi="Calibri"/>
                <w:b/>
                <w:sz w:val="19"/>
              </w:rPr>
              <w:t>Prepared by</w:t>
            </w:r>
          </w:p>
        </w:tc>
        <w:tc>
          <w:tcPr>
            <w:tcW w:type="dxa" w:w="6860"/>
            <w:vAlign w:val="center"/>
            <w:tcMar>
              <w:top w:w="90" w:type="dxa"/>
              <w:start w:w="120" w:type="dxa"/>
              <w:bottom w:w="90" w:type="dxa"/>
              <w:end w:w="120" w:type="dxa"/>
            </w:tcMar>
          </w:tcPr>
          <w:p>
            <w:pPr>
              <w:spacing w:after="40" w:line="252" w:lineRule="auto"/>
            </w:pPr>
            <w:r>
              <w:rPr>
                <w:rFonts w:ascii="Calibri" w:hAnsi="Calibri"/>
                <w:sz w:val="19"/>
              </w:rPr>
              <w:t>Business Analyst, PromoScope Insights</w:t>
            </w:r>
          </w:p>
        </w:tc>
      </w:tr>
      <w:tr>
        <w:trPr>
          <w:cantSplit/>
        </w:trPr>
        <w:tc>
          <w:tcPr>
            <w:tcW w:type="dxa" w:w="2500"/>
            <w:shd w:fill="F5F7F9"/>
            <w:vAlign w:val="center"/>
            <w:tcMar>
              <w:top w:w="90" w:type="dxa"/>
              <w:start w:w="120" w:type="dxa"/>
              <w:bottom w:w="90" w:type="dxa"/>
              <w:end w:w="120" w:type="dxa"/>
            </w:tcMar>
          </w:tcPr>
          <w:p>
            <w:pPr>
              <w:spacing w:after="40" w:line="252" w:lineRule="auto"/>
            </w:pPr>
            <w:r>
              <w:rPr>
                <w:rFonts w:ascii="Calibri" w:hAnsi="Calibri"/>
                <w:b/>
                <w:sz w:val="19"/>
              </w:rPr>
              <w:t>Submission date</w:t>
            </w:r>
          </w:p>
        </w:tc>
        <w:tc>
          <w:tcPr>
            <w:tcW w:type="dxa" w:w="6860"/>
            <w:vAlign w:val="center"/>
            <w:tcMar>
              <w:top w:w="90" w:type="dxa"/>
              <w:start w:w="120" w:type="dxa"/>
              <w:bottom w:w="90" w:type="dxa"/>
              <w:end w:w="120" w:type="dxa"/>
            </w:tcMar>
            <w:shd w:fill="F5F7F9"/>
          </w:tcPr>
          <w:p>
            <w:pPr>
              <w:spacing w:after="40" w:line="252" w:lineRule="auto"/>
            </w:pPr>
            <w:r>
              <w:rPr>
                <w:rFonts w:ascii="Calibri" w:hAnsi="Calibri"/>
                <w:sz w:val="19"/>
              </w:rPr>
              <w:t>20 July 2026</w:t>
            </w:r>
          </w:p>
        </w:tc>
      </w:tr>
      <w:tr>
        <w:trPr>
          <w:cantSplit/>
        </w:trPr>
        <w:tc>
          <w:tcPr>
            <w:tcW w:type="dxa" w:w="2500"/>
            <w:shd w:fill="EAF2F8"/>
            <w:vAlign w:val="center"/>
            <w:tcMar>
              <w:top w:w="90" w:type="dxa"/>
              <w:start w:w="120" w:type="dxa"/>
              <w:bottom w:w="90" w:type="dxa"/>
              <w:end w:w="120" w:type="dxa"/>
            </w:tcMar>
          </w:tcPr>
          <w:p>
            <w:pPr>
              <w:spacing w:after="40" w:line="252" w:lineRule="auto"/>
            </w:pPr>
            <w:r>
              <w:rPr>
                <w:rFonts w:ascii="Calibri" w:hAnsi="Calibri"/>
                <w:b/>
                <w:sz w:val="19"/>
              </w:rPr>
              <w:t>Document status</w:t>
            </w:r>
          </w:p>
        </w:tc>
        <w:tc>
          <w:tcPr>
            <w:tcW w:type="dxa" w:w="6860"/>
            <w:vAlign w:val="center"/>
            <w:tcMar>
              <w:top w:w="90" w:type="dxa"/>
              <w:start w:w="120" w:type="dxa"/>
              <w:bottom w:w="90" w:type="dxa"/>
              <w:end w:w="120" w:type="dxa"/>
            </w:tcMar>
          </w:tcPr>
          <w:p>
            <w:pPr>
              <w:spacing w:after="40" w:line="252" w:lineRule="auto"/>
            </w:pPr>
            <w:r>
              <w:rPr>
                <w:rFonts w:ascii="Calibri" w:hAnsi="Calibri"/>
                <w:sz w:val="19"/>
              </w:rPr>
              <w:t>Draft</w:t>
            </w:r>
          </w:p>
        </w:tc>
      </w:tr>
      <w:tr>
        <w:trPr>
          <w:cantSplit/>
        </w:trPr>
        <w:tc>
          <w:tcPr>
            <w:tcW w:type="dxa" w:w="2500"/>
            <w:shd w:fill="F5F7F9"/>
            <w:vAlign w:val="center"/>
            <w:tcMar>
              <w:top w:w="90" w:type="dxa"/>
              <w:start w:w="120" w:type="dxa"/>
              <w:bottom w:w="90" w:type="dxa"/>
              <w:end w:w="120" w:type="dxa"/>
            </w:tcMar>
          </w:tcPr>
          <w:p>
            <w:pPr>
              <w:spacing w:after="40" w:line="252" w:lineRule="auto"/>
            </w:pPr>
            <w:r>
              <w:rPr>
                <w:rFonts w:ascii="Calibri" w:hAnsi="Calibri"/>
                <w:b/>
                <w:sz w:val="19"/>
              </w:rPr>
              <w:t>Version</w:t>
            </w:r>
          </w:p>
        </w:tc>
        <w:tc>
          <w:tcPr>
            <w:tcW w:type="dxa" w:w="6860"/>
            <w:vAlign w:val="center"/>
            <w:tcMar>
              <w:top w:w="90" w:type="dxa"/>
              <w:start w:w="120" w:type="dxa"/>
              <w:bottom w:w="90" w:type="dxa"/>
              <w:end w:w="120" w:type="dxa"/>
            </w:tcMar>
            <w:shd w:fill="F5F7F9"/>
          </w:tcPr>
          <w:p>
            <w:pPr>
              <w:spacing w:after="40" w:line="252" w:lineRule="auto"/>
            </w:pPr>
            <w:r>
              <w:rPr>
                <w:rFonts w:ascii="Calibri" w:hAnsi="Calibri"/>
                <w:sz w:val="19"/>
              </w:rPr>
              <w:t>1.0</w:t>
            </w:r>
          </w:p>
        </w:tc>
      </w:tr>
      <w:tr>
        <w:trPr>
          <w:cantSplit/>
        </w:trPr>
        <w:tc>
          <w:tcPr>
            <w:tcW w:type="dxa" w:w="2500"/>
            <w:shd w:fill="EAF2F8"/>
            <w:vAlign w:val="center"/>
            <w:tcMar>
              <w:top w:w="90" w:type="dxa"/>
              <w:start w:w="120" w:type="dxa"/>
              <w:bottom w:w="90" w:type="dxa"/>
              <w:end w:w="120" w:type="dxa"/>
            </w:tcMar>
          </w:tcPr>
          <w:p>
            <w:pPr>
              <w:spacing w:after="40" w:line="252" w:lineRule="auto"/>
            </w:pPr>
            <w:r>
              <w:rPr>
                <w:rFonts w:ascii="Calibri" w:hAnsi="Calibri"/>
                <w:b/>
                <w:sz w:val="19"/>
              </w:rPr>
              <w:t>Data source</w:t>
            </w:r>
          </w:p>
        </w:tc>
        <w:tc>
          <w:tcPr>
            <w:tcW w:type="dxa" w:w="6860"/>
            <w:vAlign w:val="center"/>
            <w:tcMar>
              <w:top w:w="90" w:type="dxa"/>
              <w:start w:w="120" w:type="dxa"/>
              <w:bottom w:w="90" w:type="dxa"/>
              <w:end w:w="120" w:type="dxa"/>
            </w:tcMar>
          </w:tcPr>
          <w:p>
            <w:pPr>
              <w:spacing w:after="40" w:line="252" w:lineRule="auto"/>
            </w:pPr>
            <w:r>
              <w:rPr>
                <w:rFonts w:ascii="Calibri" w:hAnsi="Calibri"/>
                <w:sz w:val="19"/>
              </w:rPr>
              <w:t>Marketing campaign dataset (2,240 customer records)</w:t>
            </w:r>
          </w:p>
        </w:tc>
      </w:tr>
    </w:tbl>
    <w:p>
      <w:pPr>
        <w:pStyle w:val="Heading1"/>
      </w:pPr>
      <w:r>
        <w:t>1. Executive Summary</w:t>
      </w:r>
    </w:p>
    <w:p>
      <w:r>
        <w:t>PromoScope Insights will develop an analytical dashboard to explain which customer segments respond to retail promotions and how response differs by demographic, household, spending, and purchasing-channel characteristics. The solution will provide evidence-based insights and an interpretable propensity view to help marketing teams target future promotions more efficiently and improve campaign return on investment.</w:t>
      </w:r>
    </w:p>
    <w:p>
      <w:pPr>
        <w:pStyle w:val="Heading1"/>
      </w:pPr>
      <w:r>
        <w:t>2. Project Objectives</w:t>
      </w:r>
    </w:p>
    <w:p>
      <w:pPr>
        <w:pStyle w:val="ListBullet"/>
        <w:spacing w:after="80"/>
        <w:ind w:left="720" w:hanging="360"/>
      </w:pPr>
      <w:r>
        <w:t>Measure key campaign results, including total customers, responders, non-responders, response rate, and acceptance of previous campaigns.</w:t>
      </w:r>
    </w:p>
    <w:p>
      <w:pPr>
        <w:pStyle w:val="ListBullet"/>
        <w:spacing w:after="80"/>
        <w:ind w:left="720" w:hanging="360"/>
      </w:pPr>
      <w:r>
        <w:t>Identify customer groups with higher and lower response rates based on age, education, marital status, income, household details, recency, spending, and purchase behavior.</w:t>
      </w:r>
    </w:p>
    <w:p>
      <w:pPr>
        <w:pStyle w:val="ListBullet"/>
        <w:spacing w:after="80"/>
        <w:ind w:left="720" w:hanging="360"/>
      </w:pPr>
      <w:r>
        <w:t>Use past campaign and customer behavior to identify the main factors linked with response and highlight customers who may be more likely to respond to future promotions.</w:t>
      </w:r>
    </w:p>
    <w:p>
      <w:pPr>
        <w:pStyle w:val="ListBullet"/>
        <w:spacing w:after="80"/>
        <w:ind w:left="720" w:hanging="360"/>
      </w:pPr>
      <w:r>
        <w:t>Create an interactive dashboard that allows users to filter results and compare customer groups, response rates, spending, and purchase channels.</w:t>
      </w:r>
    </w:p>
    <w:p>
      <w:pPr>
        <w:pStyle w:val="ListBullet"/>
        <w:spacing w:after="80"/>
        <w:ind w:left="720" w:hanging="360"/>
      </w:pPr>
      <w:r>
        <w:t>Provide clear recommendations for future promotions, supported by dashboard findings and important data limitations.</w:t>
      </w:r>
    </w:p>
    <w:p>
      <w:pPr>
        <w:pStyle w:val="Heading1"/>
      </w:pPr>
      <w:r>
        <w:t>3. Project Scope</w:t>
      </w:r>
    </w:p>
    <w:p>
      <w:pPr>
        <w:pStyle w:val="Heading2"/>
      </w:pPr>
      <w:r>
        <w:t>3.1 In Scope</w:t>
      </w:r>
    </w:p>
    <w:p>
      <w:pPr>
        <w:pStyle w:val="ListBullet"/>
        <w:spacing w:after="80"/>
        <w:ind w:left="720" w:hanging="360"/>
      </w:pPr>
      <w:r>
        <w:t>Review the provided customer and campaign dataset and check it for missing, duplicate, or unusual values.</w:t>
      </w:r>
    </w:p>
    <w:p>
      <w:pPr>
        <w:pStyle w:val="ListBullet"/>
        <w:spacing w:after="80"/>
        <w:ind w:left="720" w:hanging="360"/>
      </w:pPr>
      <w:r>
        <w:t>Analyze customer details such as age, education, marital status, income, household composition, registration date, and recency.</w:t>
      </w:r>
    </w:p>
    <w:p>
      <w:pPr>
        <w:pStyle w:val="ListBullet"/>
        <w:spacing w:after="80"/>
        <w:ind w:left="720" w:hanging="360"/>
      </w:pPr>
      <w:r>
        <w:t>Study product spending, web visits, deal purchases, and purchases made through web, catalog, and store channels.</w:t>
      </w:r>
    </w:p>
    <w:p>
      <w:pPr>
        <w:pStyle w:val="ListBullet"/>
        <w:spacing w:after="80"/>
        <w:ind w:left="720" w:hanging="360"/>
      </w:pPr>
      <w:r>
        <w:t>Compare acceptance of previous campaigns with response to the latest campaign.</w:t>
      </w:r>
    </w:p>
    <w:p>
      <w:pPr>
        <w:pStyle w:val="ListBullet"/>
        <w:spacing w:after="80"/>
        <w:ind w:left="720" w:hanging="360"/>
      </w:pPr>
      <w:r>
        <w:t>Calculate important measures such as total customers, responders, non-responders, and response rate.</w:t>
      </w:r>
    </w:p>
    <w:p>
      <w:pPr>
        <w:pStyle w:val="ListBullet"/>
        <w:spacing w:after="80"/>
        <w:ind w:left="720" w:hanging="360"/>
      </w:pPr>
      <w:r>
        <w:t>Create useful customer groups, such as age and income bands, to compare response patterns.</w:t>
      </w:r>
    </w:p>
    <w:p>
      <w:pPr>
        <w:pStyle w:val="ListBullet"/>
        <w:spacing w:after="80"/>
        <w:ind w:left="720" w:hanging="360"/>
      </w:pPr>
      <w:r>
        <w:t>Build an interactive dashboard and summarize the main findings and recommendations for future promotions.</w:t>
      </w:r>
    </w:p>
    <w:p>
      <w:pPr>
        <w:pStyle w:val="Heading2"/>
      </w:pPr>
      <w:r>
        <w:t>3.2 Out of Scope</w:t>
      </w:r>
    </w:p>
    <w:p>
      <w:pPr>
        <w:pStyle w:val="ListBullet"/>
        <w:spacing w:after="80"/>
        <w:ind w:left="720" w:hanging="360"/>
      </w:pPr>
      <w:r>
        <w:t>Running or managing an actual marketing campaign.</w:t>
      </w:r>
    </w:p>
    <w:p>
      <w:pPr>
        <w:pStyle w:val="ListBullet"/>
        <w:spacing w:after="80"/>
        <w:ind w:left="720" w:hanging="360"/>
      </w:pPr>
      <w:r>
        <w:t>Connecting the dashboard to a live CRM or other business system.</w:t>
      </w:r>
    </w:p>
    <w:p>
      <w:pPr>
        <w:pStyle w:val="ListBullet"/>
        <w:spacing w:after="80"/>
        <w:ind w:left="720" w:hanging="360"/>
      </w:pPr>
      <w:r>
        <w:t>Collecting new customer information or using outside data.</w:t>
      </w:r>
    </w:p>
    <w:p>
      <w:pPr>
        <w:pStyle w:val="ListBullet"/>
        <w:spacing w:after="80"/>
        <w:ind w:left="720" w:hanging="360"/>
      </w:pPr>
      <w:r>
        <w:t>Making changes to product prices, discounts, or campaign content.</w:t>
      </w:r>
    </w:p>
    <w:p>
      <w:pPr>
        <w:pStyle w:val="ListBullet"/>
        <w:spacing w:after="80"/>
        <w:ind w:left="720" w:hanging="360"/>
      </w:pPr>
      <w:r>
        <w:t>Calculating the actual financial return because campaign cost and profit data are not available.</w:t>
      </w:r>
    </w:p>
    <w:p>
      <w:pPr>
        <w:pStyle w:val="ListBullet"/>
        <w:spacing w:after="80"/>
        <w:ind w:left="720" w:hanging="360"/>
      </w:pPr>
      <w:r>
        <w:t>Automatically sending promotions to customers.</w:t>
      </w:r>
    </w:p>
    <w:p>
      <w:pPr>
        <w:pStyle w:val="Heading1"/>
      </w:pPr>
      <w:r>
        <w:t>4. Stakeholders and Responsibilities</w:t>
      </w:r>
    </w:p>
    <w:tbl>
      <w:tblPr>
        <w:tblStyle w:val="TableGrid"/>
        <w:tblW w:type="auto" w:w="0"/>
        <w:jc w:val="center"/>
        <w:tblLayout w:type="fixed"/>
        <w:tblLook w:firstColumn="1" w:firstRow="1" w:lastColumn="0" w:lastRow="0" w:noHBand="0" w:noVBand="1" w:val="04A0"/>
        <w:tblW w:w="9360" w:type="dxa"/>
        <w:tblInd w:w="120" w:type="dxa"/>
      </w:tblPr>
      <w:tblGrid>
        <w:gridCol w:w="3000"/>
        <w:gridCol w:w="6360"/>
      </w:tblGrid>
      <w:tr>
        <w:trPr>
          <w:cantSplit/>
          <w:tblHeader w:val="true"/>
        </w:trPr>
        <w:tc>
          <w:tcPr>
            <w:tcW w:type="dxa" w:w="3000"/>
            <w:vAlign w:val="center"/>
            <w:tcMar>
              <w:top w:w="90" w:type="dxa"/>
              <w:start w:w="120" w:type="dxa"/>
              <w:bottom w:w="90" w:type="dxa"/>
              <w:end w:w="120" w:type="dxa"/>
            </w:tcMar>
            <w:shd w:fill="1F4E78"/>
          </w:tcPr>
          <w:p>
            <w:pPr>
              <w:spacing w:after="40" w:line="252" w:lineRule="auto"/>
            </w:pPr>
            <w:r>
              <w:rPr>
                <w:rFonts w:ascii="Calibri" w:hAnsi="Calibri"/>
                <w:b/>
                <w:color w:val="FFFFFF"/>
                <w:sz w:val="17"/>
              </w:rPr>
              <w:t>Stakeholder</w:t>
            </w:r>
          </w:p>
        </w:tc>
        <w:tc>
          <w:tcPr>
            <w:tcW w:type="dxa" w:w="6360"/>
            <w:vAlign w:val="center"/>
            <w:tcMar>
              <w:top w:w="90" w:type="dxa"/>
              <w:start w:w="120" w:type="dxa"/>
              <w:bottom w:w="90" w:type="dxa"/>
              <w:end w:w="120" w:type="dxa"/>
            </w:tcMar>
            <w:shd w:fill="1F4E78"/>
          </w:tcPr>
          <w:p>
            <w:pPr>
              <w:spacing w:after="40" w:line="252" w:lineRule="auto"/>
            </w:pPr>
            <w:r>
              <w:rPr>
                <w:rFonts w:ascii="Calibri" w:hAnsi="Calibri"/>
                <w:b/>
                <w:color w:val="FFFFFF"/>
                <w:sz w:val="17"/>
              </w:rPr>
              <w:t>Responsibility</w:t>
            </w:r>
          </w:p>
        </w:tc>
      </w:tr>
      <w:tr>
        <w:trPr>
          <w:cantSplit/>
        </w:trPr>
        <w:tc>
          <w:tcPr>
            <w:tcW w:type="dxa" w:w="3000"/>
            <w:vAlign w:val="center"/>
            <w:tcMar>
              <w:top w:w="90" w:type="dxa"/>
              <w:start w:w="120" w:type="dxa"/>
              <w:bottom w:w="90" w:type="dxa"/>
              <w:end w:w="120" w:type="dxa"/>
            </w:tcMar>
          </w:tcPr>
          <w:p>
            <w:pPr>
              <w:spacing w:after="40" w:line="252" w:lineRule="auto"/>
            </w:pPr>
            <w:r>
              <w:rPr>
                <w:rFonts w:ascii="Calibri" w:hAnsi="Calibri"/>
                <w:sz w:val="17"/>
              </w:rPr>
              <w:t>Project Manager — Saurabh</w:t>
            </w:r>
          </w:p>
        </w:tc>
        <w:tc>
          <w:tcPr>
            <w:tcW w:type="dxa" w:w="6360"/>
            <w:vAlign w:val="center"/>
            <w:tcMar>
              <w:top w:w="90" w:type="dxa"/>
              <w:start w:w="120" w:type="dxa"/>
              <w:bottom w:w="90" w:type="dxa"/>
              <w:end w:w="120" w:type="dxa"/>
            </w:tcMar>
          </w:tcPr>
          <w:p>
            <w:pPr>
              <w:spacing w:after="40" w:line="252" w:lineRule="auto"/>
            </w:pPr>
            <w:r>
              <w:rPr>
                <w:rFonts w:ascii="Calibri" w:hAnsi="Calibri"/>
                <w:sz w:val="17"/>
              </w:rPr>
              <w:t>Approves the scope, reviews progress, and accepts the final project.</w:t>
            </w:r>
          </w:p>
        </w:tc>
      </w:tr>
      <w:tr>
        <w:trPr>
          <w:cantSplit/>
        </w:trPr>
        <w:tc>
          <w:tcPr>
            <w:tcW w:type="dxa" w:w="3000"/>
            <w:vAlign w:val="center"/>
            <w:tcMar>
              <w:top w:w="90" w:type="dxa"/>
              <w:start w:w="120" w:type="dxa"/>
              <w:bottom w:w="90" w:type="dxa"/>
              <w:end w:w="120" w:type="dxa"/>
            </w:tcMar>
            <w:shd w:fill="F5F7F9"/>
          </w:tcPr>
          <w:p>
            <w:pPr>
              <w:spacing w:after="40" w:line="252" w:lineRule="auto"/>
            </w:pPr>
            <w:r>
              <w:rPr>
                <w:rFonts w:ascii="Calibri" w:hAnsi="Calibri"/>
                <w:sz w:val="17"/>
              </w:rPr>
              <w:t>Business Analyst</w:t>
            </w:r>
          </w:p>
        </w:tc>
        <w:tc>
          <w:tcPr>
            <w:tcW w:type="dxa" w:w="6360"/>
            <w:vAlign w:val="center"/>
            <w:tcMar>
              <w:top w:w="90" w:type="dxa"/>
              <w:start w:w="120" w:type="dxa"/>
              <w:bottom w:w="90" w:type="dxa"/>
              <w:end w:w="120" w:type="dxa"/>
            </w:tcMar>
            <w:shd w:fill="F5F7F9"/>
          </w:tcPr>
          <w:p>
            <w:pPr>
              <w:spacing w:after="40" w:line="252" w:lineRule="auto"/>
            </w:pPr>
            <w:r>
              <w:rPr>
                <w:rFonts w:ascii="Calibri" w:hAnsi="Calibri"/>
                <w:sz w:val="17"/>
              </w:rPr>
              <w:t>Defines requirements, analyzes business needs, reviews findings, and prepares recommendations.</w:t>
            </w:r>
          </w:p>
        </w:tc>
      </w:tr>
      <w:tr>
        <w:trPr>
          <w:cantSplit/>
        </w:trPr>
        <w:tc>
          <w:tcPr>
            <w:tcW w:type="dxa" w:w="3000"/>
            <w:vAlign w:val="center"/>
            <w:tcMar>
              <w:top w:w="90" w:type="dxa"/>
              <w:start w:w="120" w:type="dxa"/>
              <w:bottom w:w="90" w:type="dxa"/>
              <w:end w:w="120" w:type="dxa"/>
            </w:tcMar>
          </w:tcPr>
          <w:p>
            <w:pPr>
              <w:spacing w:after="40" w:line="252" w:lineRule="auto"/>
            </w:pPr>
            <w:r>
              <w:rPr>
                <w:rFonts w:ascii="Calibri" w:hAnsi="Calibri"/>
                <w:sz w:val="17"/>
              </w:rPr>
              <w:t>Marketing Manager</w:t>
            </w:r>
          </w:p>
        </w:tc>
        <w:tc>
          <w:tcPr>
            <w:tcW w:type="dxa" w:w="6360"/>
            <w:vAlign w:val="center"/>
            <w:tcMar>
              <w:top w:w="90" w:type="dxa"/>
              <w:start w:w="120" w:type="dxa"/>
              <w:bottom w:w="90" w:type="dxa"/>
              <w:end w:w="120" w:type="dxa"/>
            </w:tcMar>
          </w:tcPr>
          <w:p>
            <w:pPr>
              <w:spacing w:after="40" w:line="252" w:lineRule="auto"/>
            </w:pPr>
            <w:r>
              <w:rPr>
                <w:rFonts w:ascii="Calibri" w:hAnsi="Calibri"/>
                <w:sz w:val="17"/>
              </w:rPr>
              <w:t>Explains campaign needs and checks whether the findings are useful for future promotions.</w:t>
            </w:r>
          </w:p>
        </w:tc>
      </w:tr>
      <w:tr>
        <w:trPr>
          <w:cantSplit/>
        </w:trPr>
        <w:tc>
          <w:tcPr>
            <w:tcW w:type="dxa" w:w="3000"/>
            <w:vAlign w:val="center"/>
            <w:tcMar>
              <w:top w:w="90" w:type="dxa"/>
              <w:start w:w="120" w:type="dxa"/>
              <w:bottom w:w="90" w:type="dxa"/>
              <w:end w:w="120" w:type="dxa"/>
            </w:tcMar>
            <w:shd w:fill="F5F7F9"/>
          </w:tcPr>
          <w:p>
            <w:pPr>
              <w:spacing w:after="40" w:line="252" w:lineRule="auto"/>
            </w:pPr>
            <w:r>
              <w:rPr>
                <w:rFonts w:ascii="Calibri" w:hAnsi="Calibri"/>
                <w:sz w:val="17"/>
              </w:rPr>
              <w:t>Data Analyst</w:t>
            </w:r>
          </w:p>
        </w:tc>
        <w:tc>
          <w:tcPr>
            <w:tcW w:type="dxa" w:w="6360"/>
            <w:vAlign w:val="center"/>
            <w:tcMar>
              <w:top w:w="90" w:type="dxa"/>
              <w:start w:w="120" w:type="dxa"/>
              <w:bottom w:w="90" w:type="dxa"/>
              <w:end w:w="120" w:type="dxa"/>
            </w:tcMar>
            <w:shd w:fill="F5F7F9"/>
          </w:tcPr>
          <w:p>
            <w:pPr>
              <w:spacing w:after="40" w:line="252" w:lineRule="auto"/>
            </w:pPr>
            <w:r>
              <w:rPr>
                <w:rFonts w:ascii="Calibri" w:hAnsi="Calibri"/>
                <w:sz w:val="17"/>
              </w:rPr>
              <w:t>Checks the data, performs the analysis, and supports the calculation of results.</w:t>
            </w:r>
          </w:p>
        </w:tc>
      </w:tr>
      <w:tr>
        <w:trPr>
          <w:cantSplit/>
        </w:trPr>
        <w:tc>
          <w:tcPr>
            <w:tcW w:type="dxa" w:w="3000"/>
            <w:vAlign w:val="center"/>
            <w:tcMar>
              <w:top w:w="90" w:type="dxa"/>
              <w:start w:w="120" w:type="dxa"/>
              <w:bottom w:w="90" w:type="dxa"/>
              <w:end w:w="120" w:type="dxa"/>
            </w:tcMar>
          </w:tcPr>
          <w:p>
            <w:pPr>
              <w:spacing w:after="40" w:line="252" w:lineRule="auto"/>
            </w:pPr>
            <w:r>
              <w:rPr>
                <w:rFonts w:ascii="Calibri" w:hAnsi="Calibri"/>
                <w:sz w:val="17"/>
              </w:rPr>
              <w:t>BI Developer</w:t>
            </w:r>
          </w:p>
        </w:tc>
        <w:tc>
          <w:tcPr>
            <w:tcW w:type="dxa" w:w="6360"/>
            <w:vAlign w:val="center"/>
            <w:tcMar>
              <w:top w:w="90" w:type="dxa"/>
              <w:start w:w="120" w:type="dxa"/>
              <w:bottom w:w="90" w:type="dxa"/>
              <w:end w:w="120" w:type="dxa"/>
            </w:tcMar>
          </w:tcPr>
          <w:p>
            <w:pPr>
              <w:spacing w:after="40" w:line="252" w:lineRule="auto"/>
            </w:pPr>
            <w:r>
              <w:rPr>
                <w:rFonts w:ascii="Calibri" w:hAnsi="Calibri"/>
                <w:sz w:val="17"/>
              </w:rPr>
              <w:t>Creates the dashboard, filters, charts, and calculations.</w:t>
            </w:r>
          </w:p>
        </w:tc>
      </w:tr>
      <w:tr>
        <w:trPr>
          <w:cantSplit/>
        </w:trPr>
        <w:tc>
          <w:tcPr>
            <w:tcW w:type="dxa" w:w="3000"/>
            <w:vAlign w:val="center"/>
            <w:tcMar>
              <w:top w:w="90" w:type="dxa"/>
              <w:start w:w="120" w:type="dxa"/>
              <w:bottom w:w="90" w:type="dxa"/>
              <w:end w:w="120" w:type="dxa"/>
            </w:tcMar>
            <w:shd w:fill="F5F7F9"/>
          </w:tcPr>
          <w:p>
            <w:pPr>
              <w:spacing w:after="40" w:line="252" w:lineRule="auto"/>
            </w:pPr>
            <w:r>
              <w:rPr>
                <w:rFonts w:ascii="Calibri" w:hAnsi="Calibri"/>
                <w:sz w:val="17"/>
              </w:rPr>
              <w:t>Data Privacy Officer</w:t>
            </w:r>
          </w:p>
        </w:tc>
        <w:tc>
          <w:tcPr>
            <w:tcW w:type="dxa" w:w="6360"/>
            <w:vAlign w:val="center"/>
            <w:tcMar>
              <w:top w:w="90" w:type="dxa"/>
              <w:start w:w="120" w:type="dxa"/>
              <w:bottom w:w="90" w:type="dxa"/>
              <w:end w:w="120" w:type="dxa"/>
            </w:tcMar>
            <w:shd w:fill="F5F7F9"/>
          </w:tcPr>
          <w:p>
            <w:pPr>
              <w:spacing w:after="40" w:line="252" w:lineRule="auto"/>
            </w:pPr>
            <w:r>
              <w:rPr>
                <w:rFonts w:ascii="Calibri" w:hAnsi="Calibri"/>
                <w:sz w:val="17"/>
              </w:rPr>
              <w:t>Ensures customer data is used and shared responsibly.</w:t>
            </w:r>
          </w:p>
        </w:tc>
      </w:tr>
      <w:tr>
        <w:trPr>
          <w:cantSplit/>
        </w:trPr>
        <w:tc>
          <w:tcPr>
            <w:tcW w:type="dxa" w:w="3000"/>
            <w:vAlign w:val="center"/>
            <w:tcMar>
              <w:top w:w="90" w:type="dxa"/>
              <w:start w:w="120" w:type="dxa"/>
              <w:bottom w:w="90" w:type="dxa"/>
              <w:end w:w="120" w:type="dxa"/>
            </w:tcMar>
          </w:tcPr>
          <w:p>
            <w:pPr>
              <w:spacing w:after="40" w:line="252" w:lineRule="auto"/>
            </w:pPr>
            <w:r>
              <w:rPr>
                <w:rFonts w:ascii="Calibri" w:hAnsi="Calibri"/>
                <w:sz w:val="17"/>
              </w:rPr>
              <w:t>Senior Marketing Executive</w:t>
            </w:r>
          </w:p>
        </w:tc>
        <w:tc>
          <w:tcPr>
            <w:tcW w:type="dxa" w:w="6360"/>
            <w:vAlign w:val="center"/>
            <w:tcMar>
              <w:top w:w="90" w:type="dxa"/>
              <w:start w:w="120" w:type="dxa"/>
              <w:bottom w:w="90" w:type="dxa"/>
              <w:end w:w="120" w:type="dxa"/>
            </w:tcMar>
          </w:tcPr>
          <w:p>
            <w:pPr>
              <w:spacing w:after="40" w:line="252" w:lineRule="auto"/>
            </w:pPr>
            <w:r>
              <w:rPr>
                <w:rFonts w:ascii="Calibri" w:hAnsi="Calibri"/>
                <w:sz w:val="17"/>
              </w:rPr>
              <w:t>Reviews the final insights and makes campaign-related decisions.</w:t>
            </w:r>
          </w:p>
        </w:tc>
      </w:tr>
    </w:tbl>
    <w:p>
      <w:pPr>
        <w:pStyle w:val="Heading1"/>
      </w:pPr>
      <w:r>
        <w:t>5. Business Requirements</w:t>
      </w:r>
    </w:p>
    <w:p>
      <w:r>
        <w:t>Priority levels: High = essential; Medium = important; Low = optional enhancement.</w:t>
      </w:r>
    </w:p>
    <w:tbl>
      <w:tblPr>
        <w:tblStyle w:val="TableGrid"/>
        <w:tblW w:type="auto" w:w="0"/>
        <w:jc w:val="center"/>
        <w:tblLayout w:type="fixed"/>
        <w:tblLook w:firstColumn="1" w:firstRow="1" w:lastColumn="0" w:lastRow="0" w:noHBand="0" w:noVBand="1" w:val="04A0"/>
        <w:tblW w:w="9360" w:type="dxa"/>
        <w:tblInd w:w="120" w:type="dxa"/>
      </w:tblPr>
      <w:tblGrid>
        <w:gridCol w:w="700"/>
        <w:gridCol w:w="900"/>
        <w:gridCol w:w="4800"/>
        <w:gridCol w:w="2960"/>
      </w:tblGrid>
      <w:tr>
        <w:trPr>
          <w:cantSplit/>
          <w:tblHeader w:val="true"/>
        </w:trPr>
        <w:tc>
          <w:tcPr>
            <w:tcW w:type="dxa" w:w="700"/>
            <w:vAlign w:val="center"/>
            <w:tcMar>
              <w:top w:w="90" w:type="dxa"/>
              <w:start w:w="120" w:type="dxa"/>
              <w:bottom w:w="90" w:type="dxa"/>
              <w:end w:w="120" w:type="dxa"/>
            </w:tcMar>
            <w:shd w:fill="1F4E78"/>
          </w:tcPr>
          <w:p>
            <w:pPr>
              <w:spacing w:after="40" w:line="252" w:lineRule="auto"/>
            </w:pPr>
            <w:r>
              <w:rPr>
                <w:rFonts w:ascii="Calibri" w:hAnsi="Calibri"/>
                <w:b/>
                <w:color w:val="FFFFFF"/>
                <w:sz w:val="15"/>
              </w:rPr>
              <w:t>ID</w:t>
            </w:r>
          </w:p>
        </w:tc>
        <w:tc>
          <w:tcPr>
            <w:tcW w:type="dxa" w:w="900"/>
            <w:vAlign w:val="center"/>
            <w:tcMar>
              <w:top w:w="90" w:type="dxa"/>
              <w:start w:w="120" w:type="dxa"/>
              <w:bottom w:w="90" w:type="dxa"/>
              <w:end w:w="120" w:type="dxa"/>
            </w:tcMar>
            <w:shd w:fill="1F4E78"/>
          </w:tcPr>
          <w:p>
            <w:pPr>
              <w:spacing w:after="40" w:line="252" w:lineRule="auto"/>
            </w:pPr>
            <w:r>
              <w:rPr>
                <w:rFonts w:ascii="Calibri" w:hAnsi="Calibri"/>
                <w:b/>
                <w:color w:val="FFFFFF"/>
                <w:sz w:val="15"/>
              </w:rPr>
              <w:t>Priority</w:t>
            </w:r>
          </w:p>
        </w:tc>
        <w:tc>
          <w:tcPr>
            <w:tcW w:type="dxa" w:w="4800"/>
            <w:vAlign w:val="center"/>
            <w:tcMar>
              <w:top w:w="90" w:type="dxa"/>
              <w:start w:w="120" w:type="dxa"/>
              <w:bottom w:w="90" w:type="dxa"/>
              <w:end w:w="120" w:type="dxa"/>
            </w:tcMar>
            <w:shd w:fill="1F4E78"/>
          </w:tcPr>
          <w:p>
            <w:pPr>
              <w:spacing w:after="40" w:line="252" w:lineRule="auto"/>
            </w:pPr>
            <w:r>
              <w:rPr>
                <w:rFonts w:ascii="Calibri" w:hAnsi="Calibri"/>
                <w:b/>
                <w:color w:val="FFFFFF"/>
                <w:sz w:val="15"/>
              </w:rPr>
              <w:t>Requirement</w:t>
            </w:r>
          </w:p>
        </w:tc>
        <w:tc>
          <w:tcPr>
            <w:tcW w:type="dxa" w:w="2960"/>
            <w:vAlign w:val="center"/>
            <w:tcMar>
              <w:top w:w="90" w:type="dxa"/>
              <w:start w:w="120" w:type="dxa"/>
              <w:bottom w:w="90" w:type="dxa"/>
              <w:end w:w="120" w:type="dxa"/>
            </w:tcMar>
            <w:shd w:fill="1F4E78"/>
          </w:tcPr>
          <w:p>
            <w:pPr>
              <w:spacing w:after="40" w:line="252" w:lineRule="auto"/>
            </w:pPr>
            <w:r>
              <w:rPr>
                <w:rFonts w:ascii="Calibri" w:hAnsi="Calibri"/>
                <w:b/>
                <w:color w:val="FFFFFF"/>
                <w:sz w:val="15"/>
              </w:rPr>
              <w:t>Purpose</w:t>
            </w:r>
          </w:p>
        </w:tc>
      </w:tr>
      <w:tr>
        <w:trPr>
          <w:cantSplit/>
        </w:trPr>
        <w:tc>
          <w:tcPr>
            <w:tcW w:type="dxa" w:w="700"/>
            <w:vAlign w:val="center"/>
            <w:tcMar>
              <w:top w:w="90" w:type="dxa"/>
              <w:start w:w="120" w:type="dxa"/>
              <w:bottom w:w="90" w:type="dxa"/>
              <w:end w:w="120" w:type="dxa"/>
            </w:tcMar>
          </w:tcPr>
          <w:p>
            <w:pPr>
              <w:spacing w:after="40" w:line="252" w:lineRule="auto"/>
            </w:pPr>
            <w:r>
              <w:rPr>
                <w:rFonts w:ascii="Calibri" w:hAnsi="Calibri"/>
                <w:sz w:val="15"/>
              </w:rPr>
              <w:t>BR-01</w:t>
            </w:r>
          </w:p>
        </w:tc>
        <w:tc>
          <w:tcPr>
            <w:tcW w:type="dxa" w:w="900"/>
            <w:vAlign w:val="center"/>
            <w:tcMar>
              <w:top w:w="90" w:type="dxa"/>
              <w:start w:w="120" w:type="dxa"/>
              <w:bottom w:w="90" w:type="dxa"/>
              <w:end w:w="120" w:type="dxa"/>
            </w:tcMar>
          </w:tcPr>
          <w:p>
            <w:pPr>
              <w:spacing w:after="40" w:line="252" w:lineRule="auto"/>
            </w:pPr>
            <w:r>
              <w:rPr>
                <w:rFonts w:ascii="Calibri" w:hAnsi="Calibri"/>
                <w:sz w:val="15"/>
              </w:rPr>
              <w:t>High</w:t>
            </w:r>
          </w:p>
        </w:tc>
        <w:tc>
          <w:tcPr>
            <w:tcW w:type="dxa" w:w="4800"/>
            <w:vAlign w:val="center"/>
            <w:tcMar>
              <w:top w:w="90" w:type="dxa"/>
              <w:start w:w="120" w:type="dxa"/>
              <w:bottom w:w="90" w:type="dxa"/>
              <w:end w:w="120" w:type="dxa"/>
            </w:tcMar>
          </w:tcPr>
          <w:p>
            <w:pPr>
              <w:spacing w:after="40" w:line="252" w:lineRule="auto"/>
            </w:pPr>
            <w:r>
              <w:rPr>
                <w:rFonts w:ascii="Calibri" w:hAnsi="Calibri"/>
                <w:sz w:val="15"/>
              </w:rPr>
              <w:t>Check and prepare the supplied customer and campaign data, documenting how missing or unusual values are handled.</w:t>
            </w:r>
          </w:p>
        </w:tc>
        <w:tc>
          <w:tcPr>
            <w:tcW w:type="dxa" w:w="2960"/>
            <w:vAlign w:val="center"/>
            <w:tcMar>
              <w:top w:w="90" w:type="dxa"/>
              <w:start w:w="120" w:type="dxa"/>
              <w:bottom w:w="90" w:type="dxa"/>
              <w:end w:w="120" w:type="dxa"/>
            </w:tcMar>
          </w:tcPr>
          <w:p>
            <w:pPr>
              <w:spacing w:after="40" w:line="252" w:lineRule="auto"/>
            </w:pPr>
            <w:r>
              <w:rPr>
                <w:rFonts w:ascii="Calibri" w:hAnsi="Calibri"/>
                <w:sz w:val="15"/>
              </w:rPr>
              <w:t>Make sure the analysis is reliable and easy to reproduce.</w:t>
            </w:r>
          </w:p>
        </w:tc>
      </w:tr>
      <w:tr>
        <w:trPr>
          <w:cantSplit/>
        </w:trPr>
        <w:tc>
          <w:tcPr>
            <w:tcW w:type="dxa" w:w="700"/>
            <w:vAlign w:val="center"/>
            <w:tcMar>
              <w:top w:w="90" w:type="dxa"/>
              <w:start w:w="120" w:type="dxa"/>
              <w:bottom w:w="90" w:type="dxa"/>
              <w:end w:w="120" w:type="dxa"/>
            </w:tcMar>
            <w:shd w:fill="F5F7F9"/>
          </w:tcPr>
          <w:p>
            <w:pPr>
              <w:spacing w:after="40" w:line="252" w:lineRule="auto"/>
            </w:pPr>
            <w:r>
              <w:rPr>
                <w:rFonts w:ascii="Calibri" w:hAnsi="Calibri"/>
                <w:sz w:val="15"/>
              </w:rPr>
              <w:t>BR-02</w:t>
            </w:r>
          </w:p>
        </w:tc>
        <w:tc>
          <w:tcPr>
            <w:tcW w:type="dxa" w:w="900"/>
            <w:vAlign w:val="center"/>
            <w:tcMar>
              <w:top w:w="90" w:type="dxa"/>
              <w:start w:w="120" w:type="dxa"/>
              <w:bottom w:w="90" w:type="dxa"/>
              <w:end w:w="120" w:type="dxa"/>
            </w:tcMar>
            <w:shd w:fill="F5F7F9"/>
          </w:tcPr>
          <w:p>
            <w:pPr>
              <w:spacing w:after="40" w:line="252" w:lineRule="auto"/>
            </w:pPr>
            <w:r>
              <w:rPr>
                <w:rFonts w:ascii="Calibri" w:hAnsi="Calibri"/>
                <w:sz w:val="15"/>
              </w:rPr>
              <w:t>High</w:t>
            </w:r>
          </w:p>
        </w:tc>
        <w:tc>
          <w:tcPr>
            <w:tcW w:type="dxa" w:w="4800"/>
            <w:vAlign w:val="center"/>
            <w:tcMar>
              <w:top w:w="90" w:type="dxa"/>
              <w:start w:w="120" w:type="dxa"/>
              <w:bottom w:w="90" w:type="dxa"/>
              <w:end w:w="120" w:type="dxa"/>
            </w:tcMar>
            <w:shd w:fill="F5F7F9"/>
          </w:tcPr>
          <w:p>
            <w:pPr>
              <w:spacing w:after="40" w:line="252" w:lineRule="auto"/>
            </w:pPr>
            <w:r>
              <w:rPr>
                <w:rFonts w:ascii="Calibri" w:hAnsi="Calibri"/>
                <w:sz w:val="15"/>
              </w:rPr>
              <w:t>Calculate total customers, responders, non-responders, response rate, and acceptance results for previous campaigns.</w:t>
            </w:r>
          </w:p>
        </w:tc>
        <w:tc>
          <w:tcPr>
            <w:tcW w:type="dxa" w:w="2960"/>
            <w:vAlign w:val="center"/>
            <w:tcMar>
              <w:top w:w="90" w:type="dxa"/>
              <w:start w:w="120" w:type="dxa"/>
              <w:bottom w:w="90" w:type="dxa"/>
              <w:end w:w="120" w:type="dxa"/>
            </w:tcMar>
            <w:shd w:fill="F5F7F9"/>
          </w:tcPr>
          <w:p>
            <w:pPr>
              <w:spacing w:after="40" w:line="252" w:lineRule="auto"/>
            </w:pPr>
            <w:r>
              <w:rPr>
                <w:rFonts w:ascii="Calibri" w:hAnsi="Calibri"/>
                <w:sz w:val="15"/>
              </w:rPr>
              <w:t>Provide a clear summary of campaign performance.</w:t>
            </w:r>
          </w:p>
        </w:tc>
      </w:tr>
      <w:tr>
        <w:trPr>
          <w:cantSplit/>
        </w:trPr>
        <w:tc>
          <w:tcPr>
            <w:tcW w:type="dxa" w:w="700"/>
            <w:vAlign w:val="center"/>
            <w:tcMar>
              <w:top w:w="90" w:type="dxa"/>
              <w:start w:w="120" w:type="dxa"/>
              <w:bottom w:w="90" w:type="dxa"/>
              <w:end w:w="120" w:type="dxa"/>
            </w:tcMar>
          </w:tcPr>
          <w:p>
            <w:pPr>
              <w:spacing w:after="40" w:line="252" w:lineRule="auto"/>
            </w:pPr>
            <w:r>
              <w:rPr>
                <w:rFonts w:ascii="Calibri" w:hAnsi="Calibri"/>
                <w:sz w:val="15"/>
              </w:rPr>
              <w:t>BR-03</w:t>
            </w:r>
          </w:p>
        </w:tc>
        <w:tc>
          <w:tcPr>
            <w:tcW w:type="dxa" w:w="900"/>
            <w:vAlign w:val="center"/>
            <w:tcMar>
              <w:top w:w="90" w:type="dxa"/>
              <w:start w:w="120" w:type="dxa"/>
              <w:bottom w:w="90" w:type="dxa"/>
              <w:end w:w="120" w:type="dxa"/>
            </w:tcMar>
          </w:tcPr>
          <w:p>
            <w:pPr>
              <w:spacing w:after="40" w:line="252" w:lineRule="auto"/>
            </w:pPr>
            <w:r>
              <w:rPr>
                <w:rFonts w:ascii="Calibri" w:hAnsi="Calibri"/>
                <w:sz w:val="15"/>
              </w:rPr>
              <w:t>High</w:t>
            </w:r>
          </w:p>
        </w:tc>
        <w:tc>
          <w:tcPr>
            <w:tcW w:type="dxa" w:w="4800"/>
            <w:vAlign w:val="center"/>
            <w:tcMar>
              <w:top w:w="90" w:type="dxa"/>
              <w:start w:w="120" w:type="dxa"/>
              <w:bottom w:w="90" w:type="dxa"/>
              <w:end w:w="120" w:type="dxa"/>
            </w:tcMar>
          </w:tcPr>
          <w:p>
            <w:pPr>
              <w:spacing w:after="40" w:line="252" w:lineRule="auto"/>
            </w:pPr>
            <w:r>
              <w:rPr>
                <w:rFonts w:ascii="Calibri" w:hAnsi="Calibri"/>
                <w:sz w:val="15"/>
              </w:rPr>
              <w:t>Compare response across customer details, including age, education, marital status, income, household composition, and recency.</w:t>
            </w:r>
          </w:p>
        </w:tc>
        <w:tc>
          <w:tcPr>
            <w:tcW w:type="dxa" w:w="2960"/>
            <w:vAlign w:val="center"/>
            <w:tcMar>
              <w:top w:w="90" w:type="dxa"/>
              <w:start w:w="120" w:type="dxa"/>
              <w:bottom w:w="90" w:type="dxa"/>
              <w:end w:w="120" w:type="dxa"/>
            </w:tcMar>
          </w:tcPr>
          <w:p>
            <w:pPr>
              <w:spacing w:after="40" w:line="252" w:lineRule="auto"/>
            </w:pPr>
            <w:r>
              <w:rPr>
                <w:rFonts w:ascii="Calibri" w:hAnsi="Calibri"/>
                <w:sz w:val="15"/>
              </w:rPr>
              <w:t>Identify customer groups with different response patterns.</w:t>
            </w:r>
          </w:p>
        </w:tc>
      </w:tr>
      <w:tr>
        <w:trPr>
          <w:cantSplit/>
        </w:trPr>
        <w:tc>
          <w:tcPr>
            <w:tcW w:type="dxa" w:w="700"/>
            <w:vAlign w:val="center"/>
            <w:tcMar>
              <w:top w:w="90" w:type="dxa"/>
              <w:start w:w="120" w:type="dxa"/>
              <w:bottom w:w="90" w:type="dxa"/>
              <w:end w:w="120" w:type="dxa"/>
            </w:tcMar>
            <w:shd w:fill="F5F7F9"/>
          </w:tcPr>
          <w:p>
            <w:pPr>
              <w:spacing w:after="40" w:line="252" w:lineRule="auto"/>
            </w:pPr>
            <w:r>
              <w:rPr>
                <w:rFonts w:ascii="Calibri" w:hAnsi="Calibri"/>
                <w:sz w:val="15"/>
              </w:rPr>
              <w:t>BR-04</w:t>
            </w:r>
          </w:p>
        </w:tc>
        <w:tc>
          <w:tcPr>
            <w:tcW w:type="dxa" w:w="900"/>
            <w:vAlign w:val="center"/>
            <w:tcMar>
              <w:top w:w="90" w:type="dxa"/>
              <w:start w:w="120" w:type="dxa"/>
              <w:bottom w:w="90" w:type="dxa"/>
              <w:end w:w="120" w:type="dxa"/>
            </w:tcMar>
            <w:shd w:fill="F5F7F9"/>
          </w:tcPr>
          <w:p>
            <w:pPr>
              <w:spacing w:after="40" w:line="252" w:lineRule="auto"/>
            </w:pPr>
            <w:r>
              <w:rPr>
                <w:rFonts w:ascii="Calibri" w:hAnsi="Calibri"/>
                <w:sz w:val="15"/>
              </w:rPr>
              <w:t>High</w:t>
            </w:r>
          </w:p>
        </w:tc>
        <w:tc>
          <w:tcPr>
            <w:tcW w:type="dxa" w:w="4800"/>
            <w:vAlign w:val="center"/>
            <w:tcMar>
              <w:top w:w="90" w:type="dxa"/>
              <w:start w:w="120" w:type="dxa"/>
              <w:bottom w:w="90" w:type="dxa"/>
              <w:end w:w="120" w:type="dxa"/>
            </w:tcMar>
            <w:shd w:fill="F5F7F9"/>
          </w:tcPr>
          <w:p>
            <w:pPr>
              <w:spacing w:after="40" w:line="252" w:lineRule="auto"/>
            </w:pPr>
            <w:r>
              <w:rPr>
                <w:rFonts w:ascii="Calibri" w:hAnsi="Calibri"/>
                <w:sz w:val="15"/>
              </w:rPr>
              <w:t>Compare response with product spending and purchases made through web, catalog, store, and deal channels.</w:t>
            </w:r>
          </w:p>
        </w:tc>
        <w:tc>
          <w:tcPr>
            <w:tcW w:type="dxa" w:w="2960"/>
            <w:vAlign w:val="center"/>
            <w:tcMar>
              <w:top w:w="90" w:type="dxa"/>
              <w:start w:w="120" w:type="dxa"/>
              <w:bottom w:w="90" w:type="dxa"/>
              <w:end w:w="120" w:type="dxa"/>
            </w:tcMar>
            <w:shd w:fill="F5F7F9"/>
          </w:tcPr>
          <w:p>
            <w:pPr>
              <w:spacing w:after="40" w:line="252" w:lineRule="auto"/>
            </w:pPr>
            <w:r>
              <w:rPr>
                <w:rFonts w:ascii="Calibri" w:hAnsi="Calibri"/>
                <w:sz w:val="15"/>
              </w:rPr>
              <w:t>Understand how spending and purchase behavior relate to response.</w:t>
            </w:r>
          </w:p>
        </w:tc>
      </w:tr>
      <w:tr>
        <w:trPr>
          <w:cantSplit/>
        </w:trPr>
        <w:tc>
          <w:tcPr>
            <w:tcW w:type="dxa" w:w="700"/>
            <w:vAlign w:val="center"/>
            <w:tcMar>
              <w:top w:w="90" w:type="dxa"/>
              <w:start w:w="120" w:type="dxa"/>
              <w:bottom w:w="90" w:type="dxa"/>
              <w:end w:w="120" w:type="dxa"/>
            </w:tcMar>
          </w:tcPr>
          <w:p>
            <w:pPr>
              <w:spacing w:after="40" w:line="252" w:lineRule="auto"/>
            </w:pPr>
            <w:r>
              <w:rPr>
                <w:rFonts w:ascii="Calibri" w:hAnsi="Calibri"/>
                <w:sz w:val="15"/>
              </w:rPr>
              <w:t>BR-05</w:t>
            </w:r>
          </w:p>
        </w:tc>
        <w:tc>
          <w:tcPr>
            <w:tcW w:type="dxa" w:w="900"/>
            <w:vAlign w:val="center"/>
            <w:tcMar>
              <w:top w:w="90" w:type="dxa"/>
              <w:start w:w="120" w:type="dxa"/>
              <w:bottom w:w="90" w:type="dxa"/>
              <w:end w:w="120" w:type="dxa"/>
            </w:tcMar>
          </w:tcPr>
          <w:p>
            <w:pPr>
              <w:spacing w:after="40" w:line="252" w:lineRule="auto"/>
            </w:pPr>
            <w:r>
              <w:rPr>
                <w:rFonts w:ascii="Calibri" w:hAnsi="Calibri"/>
                <w:sz w:val="15"/>
              </w:rPr>
              <w:t>High</w:t>
            </w:r>
          </w:p>
        </w:tc>
        <w:tc>
          <w:tcPr>
            <w:tcW w:type="dxa" w:w="4800"/>
            <w:vAlign w:val="center"/>
            <w:tcMar>
              <w:top w:w="90" w:type="dxa"/>
              <w:start w:w="120" w:type="dxa"/>
              <w:bottom w:w="90" w:type="dxa"/>
              <w:end w:w="120" w:type="dxa"/>
            </w:tcMar>
          </w:tcPr>
          <w:p>
            <w:pPr>
              <w:spacing w:after="40" w:line="252" w:lineRule="auto"/>
            </w:pPr>
            <w:r>
              <w:rPr>
                <w:rFonts w:ascii="Calibri" w:hAnsi="Calibri"/>
                <w:sz w:val="15"/>
              </w:rPr>
              <w:t>Create an interactive dashboard with filters and show both customer count and response rate when comparing groups.</w:t>
            </w:r>
          </w:p>
        </w:tc>
        <w:tc>
          <w:tcPr>
            <w:tcW w:type="dxa" w:w="2960"/>
            <w:vAlign w:val="center"/>
            <w:tcMar>
              <w:top w:w="90" w:type="dxa"/>
              <w:start w:w="120" w:type="dxa"/>
              <w:bottom w:w="90" w:type="dxa"/>
              <w:end w:w="120" w:type="dxa"/>
            </w:tcMar>
          </w:tcPr>
          <w:p>
            <w:pPr>
              <w:spacing w:after="40" w:line="252" w:lineRule="auto"/>
            </w:pPr>
            <w:r>
              <w:rPr>
                <w:rFonts w:ascii="Calibri" w:hAnsi="Calibri"/>
                <w:sz w:val="15"/>
              </w:rPr>
              <w:t>Make the dashboard easy to explore and avoid misleading comparisons.</w:t>
            </w:r>
          </w:p>
        </w:tc>
      </w:tr>
      <w:tr>
        <w:trPr>
          <w:cantSplit/>
        </w:trPr>
        <w:tc>
          <w:tcPr>
            <w:tcW w:type="dxa" w:w="700"/>
            <w:vAlign w:val="center"/>
            <w:tcMar>
              <w:top w:w="90" w:type="dxa"/>
              <w:start w:w="120" w:type="dxa"/>
              <w:bottom w:w="90" w:type="dxa"/>
              <w:end w:w="120" w:type="dxa"/>
            </w:tcMar>
            <w:shd w:fill="F5F7F9"/>
          </w:tcPr>
          <w:p>
            <w:pPr>
              <w:spacing w:after="40" w:line="252" w:lineRule="auto"/>
            </w:pPr>
            <w:r>
              <w:rPr>
                <w:rFonts w:ascii="Calibri" w:hAnsi="Calibri"/>
                <w:sz w:val="15"/>
              </w:rPr>
              <w:t>BR-06</w:t>
            </w:r>
          </w:p>
        </w:tc>
        <w:tc>
          <w:tcPr>
            <w:tcW w:type="dxa" w:w="900"/>
            <w:vAlign w:val="center"/>
            <w:tcMar>
              <w:top w:w="90" w:type="dxa"/>
              <w:start w:w="120" w:type="dxa"/>
              <w:bottom w:w="90" w:type="dxa"/>
              <w:end w:w="120" w:type="dxa"/>
            </w:tcMar>
            <w:shd w:fill="F5F7F9"/>
          </w:tcPr>
          <w:p>
            <w:pPr>
              <w:spacing w:after="40" w:line="252" w:lineRule="auto"/>
            </w:pPr>
            <w:r>
              <w:rPr>
                <w:rFonts w:ascii="Calibri" w:hAnsi="Calibri"/>
                <w:sz w:val="15"/>
              </w:rPr>
              <w:t>Medium</w:t>
            </w:r>
          </w:p>
        </w:tc>
        <w:tc>
          <w:tcPr>
            <w:tcW w:type="dxa" w:w="4800"/>
            <w:vAlign w:val="center"/>
            <w:tcMar>
              <w:top w:w="90" w:type="dxa"/>
              <w:start w:w="120" w:type="dxa"/>
              <w:bottom w:w="90" w:type="dxa"/>
              <w:end w:w="120" w:type="dxa"/>
            </w:tcMar>
            <w:shd w:fill="F5F7F9"/>
          </w:tcPr>
          <w:p>
            <w:pPr>
              <w:spacing w:after="40" w:line="252" w:lineRule="auto"/>
            </w:pPr>
            <w:r>
              <w:rPr>
                <w:rFonts w:ascii="Calibri" w:hAnsi="Calibri"/>
                <w:sz w:val="15"/>
              </w:rPr>
              <w:t>Compare acceptance across previous campaigns and the latest campaign using clear labels.</w:t>
            </w:r>
          </w:p>
        </w:tc>
        <w:tc>
          <w:tcPr>
            <w:tcW w:type="dxa" w:w="2960"/>
            <w:vAlign w:val="center"/>
            <w:tcMar>
              <w:top w:w="90" w:type="dxa"/>
              <w:start w:w="120" w:type="dxa"/>
              <w:bottom w:w="90" w:type="dxa"/>
              <w:end w:w="120" w:type="dxa"/>
            </w:tcMar>
            <w:shd w:fill="F5F7F9"/>
          </w:tcPr>
          <w:p>
            <w:pPr>
              <w:spacing w:after="40" w:line="252" w:lineRule="auto"/>
            </w:pPr>
            <w:r>
              <w:rPr>
                <w:rFonts w:ascii="Calibri" w:hAnsi="Calibri"/>
                <w:sz w:val="15"/>
              </w:rPr>
              <w:t>Understand how campaign response has differed across campaigns.</w:t>
            </w:r>
          </w:p>
        </w:tc>
      </w:tr>
      <w:tr>
        <w:trPr>
          <w:cantSplit/>
        </w:trPr>
        <w:tc>
          <w:tcPr>
            <w:tcW w:type="dxa" w:w="700"/>
            <w:vAlign w:val="center"/>
            <w:tcMar>
              <w:top w:w="90" w:type="dxa"/>
              <w:start w:w="120" w:type="dxa"/>
              <w:bottom w:w="90" w:type="dxa"/>
              <w:end w:w="120" w:type="dxa"/>
            </w:tcMar>
          </w:tcPr>
          <w:p>
            <w:pPr>
              <w:spacing w:after="40" w:line="252" w:lineRule="auto"/>
            </w:pPr>
            <w:r>
              <w:rPr>
                <w:rFonts w:ascii="Calibri" w:hAnsi="Calibri"/>
                <w:sz w:val="15"/>
              </w:rPr>
              <w:t>BR-07</w:t>
            </w:r>
          </w:p>
        </w:tc>
        <w:tc>
          <w:tcPr>
            <w:tcW w:type="dxa" w:w="900"/>
            <w:vAlign w:val="center"/>
            <w:tcMar>
              <w:top w:w="90" w:type="dxa"/>
              <w:start w:w="120" w:type="dxa"/>
              <w:bottom w:w="90" w:type="dxa"/>
              <w:end w:w="120" w:type="dxa"/>
            </w:tcMar>
          </w:tcPr>
          <w:p>
            <w:pPr>
              <w:spacing w:after="40" w:line="252" w:lineRule="auto"/>
            </w:pPr>
            <w:r>
              <w:rPr>
                <w:rFonts w:ascii="Calibri" w:hAnsi="Calibri"/>
                <w:sz w:val="15"/>
              </w:rPr>
              <w:t>Medium</w:t>
            </w:r>
          </w:p>
        </w:tc>
        <w:tc>
          <w:tcPr>
            <w:tcW w:type="dxa" w:w="4800"/>
            <w:vAlign w:val="center"/>
            <w:tcMar>
              <w:top w:w="90" w:type="dxa"/>
              <w:start w:w="120" w:type="dxa"/>
              <w:bottom w:w="90" w:type="dxa"/>
              <w:end w:w="120" w:type="dxa"/>
            </w:tcMar>
          </w:tcPr>
          <w:p>
            <w:pPr>
              <w:spacing w:after="40" w:line="252" w:lineRule="auto"/>
            </w:pPr>
            <w:r>
              <w:rPr>
                <w:rFonts w:ascii="Calibri" w:hAnsi="Calibri"/>
                <w:sz w:val="15"/>
              </w:rPr>
              <w:t>Summarize the main findings and recommend customer groups for future campaign testing.</w:t>
            </w:r>
          </w:p>
        </w:tc>
        <w:tc>
          <w:tcPr>
            <w:tcW w:type="dxa" w:w="2960"/>
            <w:vAlign w:val="center"/>
            <w:tcMar>
              <w:top w:w="90" w:type="dxa"/>
              <w:start w:w="120" w:type="dxa"/>
              <w:bottom w:w="90" w:type="dxa"/>
              <w:end w:w="120" w:type="dxa"/>
            </w:tcMar>
          </w:tcPr>
          <w:p>
            <w:pPr>
              <w:spacing w:after="40" w:line="252" w:lineRule="auto"/>
            </w:pPr>
            <w:r>
              <w:rPr>
                <w:rFonts w:ascii="Calibri" w:hAnsi="Calibri"/>
                <w:sz w:val="15"/>
              </w:rPr>
              <w:t>Support better targeting decisions without overstating the results.</w:t>
            </w:r>
          </w:p>
        </w:tc>
      </w:tr>
      <w:tr>
        <w:trPr>
          <w:cantSplit/>
        </w:trPr>
        <w:tc>
          <w:tcPr>
            <w:tcW w:type="dxa" w:w="700"/>
            <w:vAlign w:val="center"/>
            <w:tcMar>
              <w:top w:w="90" w:type="dxa"/>
              <w:start w:w="120" w:type="dxa"/>
              <w:bottom w:w="90" w:type="dxa"/>
              <w:end w:w="120" w:type="dxa"/>
            </w:tcMar>
            <w:shd w:fill="F5F7F9"/>
          </w:tcPr>
          <w:p>
            <w:pPr>
              <w:spacing w:after="40" w:line="252" w:lineRule="auto"/>
            </w:pPr>
            <w:r>
              <w:rPr>
                <w:rFonts w:ascii="Calibri" w:hAnsi="Calibri"/>
                <w:sz w:val="15"/>
              </w:rPr>
              <w:t>BR-08</w:t>
            </w:r>
          </w:p>
        </w:tc>
        <w:tc>
          <w:tcPr>
            <w:tcW w:type="dxa" w:w="900"/>
            <w:vAlign w:val="center"/>
            <w:tcMar>
              <w:top w:w="90" w:type="dxa"/>
              <w:start w:w="120" w:type="dxa"/>
              <w:bottom w:w="90" w:type="dxa"/>
              <w:end w:w="120" w:type="dxa"/>
            </w:tcMar>
            <w:shd w:fill="F5F7F9"/>
          </w:tcPr>
          <w:p>
            <w:pPr>
              <w:spacing w:after="40" w:line="252" w:lineRule="auto"/>
            </w:pPr>
            <w:r>
              <w:rPr>
                <w:rFonts w:ascii="Calibri" w:hAnsi="Calibri"/>
                <w:sz w:val="15"/>
              </w:rPr>
              <w:t>Low</w:t>
            </w:r>
          </w:p>
        </w:tc>
        <w:tc>
          <w:tcPr>
            <w:tcW w:type="dxa" w:w="4800"/>
            <w:vAlign w:val="center"/>
            <w:tcMar>
              <w:top w:w="90" w:type="dxa"/>
              <w:start w:w="120" w:type="dxa"/>
              <w:bottom w:w="90" w:type="dxa"/>
              <w:end w:w="120" w:type="dxa"/>
            </w:tcMar>
            <w:shd w:fill="F5F7F9"/>
          </w:tcPr>
          <w:p>
            <w:pPr>
              <w:spacing w:after="40" w:line="252" w:lineRule="auto"/>
            </w:pPr>
            <w:r>
              <w:rPr>
                <w:rFonts w:ascii="Calibri" w:hAnsi="Calibri"/>
                <w:sz w:val="15"/>
              </w:rPr>
              <w:t>Provide short instructions explaining the dashboard filters and measures.</w:t>
            </w:r>
          </w:p>
        </w:tc>
        <w:tc>
          <w:tcPr>
            <w:tcW w:type="dxa" w:w="2960"/>
            <w:vAlign w:val="center"/>
            <w:tcMar>
              <w:top w:w="90" w:type="dxa"/>
              <w:start w:w="120" w:type="dxa"/>
              <w:bottom w:w="90" w:type="dxa"/>
              <w:end w:w="120" w:type="dxa"/>
            </w:tcMar>
            <w:shd w:fill="F5F7F9"/>
          </w:tcPr>
          <w:p>
            <w:pPr>
              <w:spacing w:after="40" w:line="252" w:lineRule="auto"/>
            </w:pPr>
            <w:r>
              <w:rPr>
                <w:rFonts w:ascii="Calibri" w:hAnsi="Calibri"/>
                <w:sz w:val="15"/>
              </w:rPr>
              <w:t>Help users understand and reuse the dashboard.</w:t>
            </w:r>
          </w:p>
        </w:tc>
      </w:tr>
    </w:tbl>
    <w:p>
      <w:pPr>
        <w:pStyle w:val="Heading1"/>
      </w:pPr>
      <w:r>
        <w:t>6. Constraints and Assumptions</w:t>
      </w:r>
    </w:p>
    <w:p>
      <w:pPr>
        <w:pStyle w:val="Heading2"/>
      </w:pPr>
      <w:r>
        <w:t>6.1 Constraints</w:t>
      </w:r>
    </w:p>
    <w:p>
      <w:pPr>
        <w:pStyle w:val="ListBullet"/>
        <w:spacing w:after="80"/>
        <w:ind w:left="720" w:hanging="360"/>
      </w:pPr>
      <w:r>
        <w:t>The project uses only the provided dataset of 2,240 customer records.</w:t>
      </w:r>
    </w:p>
    <w:p>
      <w:pPr>
        <w:pStyle w:val="ListBullet"/>
        <w:spacing w:after="80"/>
        <w:ind w:left="720" w:hanging="360"/>
      </w:pPr>
      <w:r>
        <w:t>The data is historical and may not represent current customer behavior.</w:t>
      </w:r>
    </w:p>
    <w:p>
      <w:pPr>
        <w:pStyle w:val="ListBullet"/>
        <w:spacing w:after="80"/>
        <w:ind w:left="720" w:hanging="360"/>
      </w:pPr>
      <w:r>
        <w:t>Campaign cost, profit, offer details, and control-group data are not available.</w:t>
      </w:r>
    </w:p>
    <w:p>
      <w:pPr>
        <w:pStyle w:val="ListBullet"/>
        <w:spacing w:after="80"/>
        <w:ind w:left="720" w:hanging="360"/>
      </w:pPr>
      <w:r>
        <w:t>The project does not have access to a live CRM or other company systems.</w:t>
      </w:r>
    </w:p>
    <w:p>
      <w:pPr>
        <w:pStyle w:val="ListBullet"/>
        <w:spacing w:after="80"/>
        <w:ind w:left="720" w:hanging="360"/>
      </w:pPr>
      <w:r>
        <w:t>Missing or unusual values may limit some parts of the analysis.</w:t>
      </w:r>
    </w:p>
    <w:p>
      <w:pPr>
        <w:pStyle w:val="Heading2"/>
      </w:pPr>
      <w:r>
        <w:t>6.2 Assumptions</w:t>
      </w:r>
    </w:p>
    <w:p>
      <w:pPr>
        <w:pStyle w:val="ListBullet"/>
        <w:spacing w:after="80"/>
        <w:ind w:left="720" w:hanging="360"/>
      </w:pPr>
      <w:r>
        <w:t>Each customer ID represents one customer.</w:t>
      </w:r>
    </w:p>
    <w:p>
      <w:pPr>
        <w:pStyle w:val="ListBullet"/>
        <w:spacing w:after="80"/>
        <w:ind w:left="720" w:hanging="360"/>
      </w:pPr>
      <w:r>
        <w:t>Response represents acceptance of the latest campaign.</w:t>
      </w:r>
    </w:p>
    <w:p>
      <w:pPr>
        <w:pStyle w:val="ListBullet"/>
        <w:spacing w:after="80"/>
        <w:ind w:left="720" w:hanging="360"/>
      </w:pPr>
      <w:r>
        <w:t>AcceptedCmp1 to AcceptedCmp5 represent five separate earlier campaigns.</w:t>
      </w:r>
    </w:p>
    <w:p>
      <w:pPr>
        <w:pStyle w:val="ListBullet"/>
        <w:spacing w:after="80"/>
        <w:ind w:left="720" w:hanging="360"/>
      </w:pPr>
      <w:r>
        <w:t>The spending and income fields use the same currency, although the currency is not stated.</w:t>
      </w:r>
    </w:p>
    <w:p>
      <w:pPr>
        <w:pStyle w:val="ListBullet"/>
        <w:spacing w:after="80"/>
        <w:ind w:left="720" w:hanging="360"/>
      </w:pPr>
      <w:r>
        <w:t>The available data is sufficient to identify general response patterns.</w:t>
      </w:r>
    </w:p>
    <w:p>
      <w:pPr>
        <w:pStyle w:val="Heading1"/>
      </w:pPr>
      <w:r>
        <w:t>7. Cost–Benefit Analysis</w:t>
      </w:r>
    </w:p>
    <w:p>
      <w:r>
        <w:t>Exact financial values cannot be calculated because employee costs, campaign costs, sales profit, and expected improvement are not provided. Therefore, this section describes the expected costs and benefits in simple business terms.</w:t>
      </w:r>
    </w:p>
    <w:p>
      <w:pPr>
        <w:pStyle w:val="Heading2"/>
      </w:pPr>
      <w:r>
        <w:t>7.1 Expected Costs</w:t>
      </w:r>
    </w:p>
    <w:tbl>
      <w:tblPr>
        <w:tblStyle w:val="TableGrid"/>
        <w:tblW w:type="auto" w:w="0"/>
        <w:jc w:val="center"/>
        <w:tblLayout w:type="fixed"/>
        <w:tblLook w:firstColumn="1" w:firstRow="1" w:lastColumn="0" w:lastRow="0" w:noHBand="0" w:noVBand="1" w:val="04A0"/>
        <w:tblW w:w="9360" w:type="dxa"/>
        <w:tblInd w:w="120" w:type="dxa"/>
      </w:tblPr>
      <w:tblGrid>
        <w:gridCol w:w="2500"/>
        <w:gridCol w:w="6860"/>
      </w:tblGrid>
      <w:tr>
        <w:trPr>
          <w:cantSplit/>
          <w:tblHeader w:val="true"/>
        </w:trPr>
        <w:tc>
          <w:tcPr>
            <w:tcW w:type="dxa" w:w="2500"/>
            <w:vAlign w:val="center"/>
            <w:tcMar>
              <w:top w:w="90" w:type="dxa"/>
              <w:start w:w="120" w:type="dxa"/>
              <w:bottom w:w="90" w:type="dxa"/>
              <w:end w:w="120" w:type="dxa"/>
            </w:tcMar>
            <w:shd w:fill="1F4E78"/>
          </w:tcPr>
          <w:p>
            <w:pPr>
              <w:spacing w:after="40" w:line="252" w:lineRule="auto"/>
            </w:pPr>
            <w:r>
              <w:rPr>
                <w:rFonts w:ascii="Calibri" w:hAnsi="Calibri"/>
                <w:b/>
                <w:color w:val="FFFFFF"/>
                <w:sz w:val="18"/>
              </w:rPr>
              <w:t>Cost</w:t>
            </w:r>
          </w:p>
        </w:tc>
        <w:tc>
          <w:tcPr>
            <w:tcW w:type="dxa" w:w="6860"/>
            <w:vAlign w:val="center"/>
            <w:tcMar>
              <w:top w:w="90" w:type="dxa"/>
              <w:start w:w="120" w:type="dxa"/>
              <w:bottom w:w="90" w:type="dxa"/>
              <w:end w:w="120" w:type="dxa"/>
            </w:tcMar>
            <w:shd w:fill="1F4E78"/>
          </w:tcPr>
          <w:p>
            <w:pPr>
              <w:spacing w:after="40" w:line="252" w:lineRule="auto"/>
            </w:pPr>
            <w:r>
              <w:rPr>
                <w:rFonts w:ascii="Calibri" w:hAnsi="Calibri"/>
                <w:b/>
                <w:color w:val="FFFFFF"/>
                <w:sz w:val="18"/>
              </w:rPr>
              <w:t>Description</w:t>
            </w:r>
          </w:p>
        </w:tc>
      </w:tr>
      <w:tr>
        <w:trPr>
          <w:cantSplit/>
        </w:trPr>
        <w:tc>
          <w:tcPr>
            <w:tcW w:type="dxa" w:w="2500"/>
            <w:vAlign w:val="center"/>
            <w:tcMar>
              <w:top w:w="90" w:type="dxa"/>
              <w:start w:w="120" w:type="dxa"/>
              <w:bottom w:w="90" w:type="dxa"/>
              <w:end w:w="120" w:type="dxa"/>
            </w:tcMar>
          </w:tcPr>
          <w:p>
            <w:pPr>
              <w:spacing w:after="40" w:line="252" w:lineRule="auto"/>
            </w:pPr>
            <w:r>
              <w:rPr>
                <w:rFonts w:ascii="Calibri" w:hAnsi="Calibri"/>
                <w:sz w:val="18"/>
              </w:rPr>
              <w:t>Time and effort</w:t>
            </w:r>
          </w:p>
        </w:tc>
        <w:tc>
          <w:tcPr>
            <w:tcW w:type="dxa" w:w="6860"/>
            <w:vAlign w:val="center"/>
            <w:tcMar>
              <w:top w:w="90" w:type="dxa"/>
              <w:start w:w="120" w:type="dxa"/>
              <w:bottom w:w="90" w:type="dxa"/>
              <w:end w:w="120" w:type="dxa"/>
            </w:tcMar>
          </w:tcPr>
          <w:p>
            <w:pPr>
              <w:spacing w:after="40" w:line="252" w:lineRule="auto"/>
            </w:pPr>
            <w:r>
              <w:rPr>
                <w:rFonts w:ascii="Calibri" w:hAnsi="Calibri"/>
                <w:sz w:val="18"/>
              </w:rPr>
              <w:t>Time spent on data review, analysis, dashboard creation, testing, and documentation.</w:t>
            </w:r>
          </w:p>
        </w:tc>
      </w:tr>
      <w:tr>
        <w:trPr>
          <w:cantSplit/>
        </w:trPr>
        <w:tc>
          <w:tcPr>
            <w:tcW w:type="dxa" w:w="2500"/>
            <w:vAlign w:val="center"/>
            <w:tcMar>
              <w:top w:w="90" w:type="dxa"/>
              <w:start w:w="120" w:type="dxa"/>
              <w:bottom w:w="90" w:type="dxa"/>
              <w:end w:w="120" w:type="dxa"/>
            </w:tcMar>
            <w:shd w:fill="F5F7F9"/>
          </w:tcPr>
          <w:p>
            <w:pPr>
              <w:spacing w:after="40" w:line="252" w:lineRule="auto"/>
            </w:pPr>
            <w:r>
              <w:rPr>
                <w:rFonts w:ascii="Calibri" w:hAnsi="Calibri"/>
                <w:sz w:val="18"/>
              </w:rPr>
              <w:t>Software</w:t>
            </w:r>
          </w:p>
        </w:tc>
        <w:tc>
          <w:tcPr>
            <w:tcW w:type="dxa" w:w="6860"/>
            <w:vAlign w:val="center"/>
            <w:tcMar>
              <w:top w:w="90" w:type="dxa"/>
              <w:start w:w="120" w:type="dxa"/>
              <w:bottom w:w="90" w:type="dxa"/>
              <w:end w:w="120" w:type="dxa"/>
            </w:tcMar>
            <w:shd w:fill="F5F7F9"/>
          </w:tcPr>
          <w:p>
            <w:pPr>
              <w:spacing w:after="40" w:line="252" w:lineRule="auto"/>
            </w:pPr>
            <w:r>
              <w:rPr>
                <w:rFonts w:ascii="Calibri" w:hAnsi="Calibri"/>
                <w:sz w:val="18"/>
              </w:rPr>
              <w:t>Possible cost of dashboard or analytics software, depending on the tools used.</w:t>
            </w:r>
          </w:p>
        </w:tc>
      </w:tr>
      <w:tr>
        <w:trPr>
          <w:cantSplit/>
        </w:trPr>
        <w:tc>
          <w:tcPr>
            <w:tcW w:type="dxa" w:w="2500"/>
            <w:vAlign w:val="center"/>
            <w:tcMar>
              <w:top w:w="90" w:type="dxa"/>
              <w:start w:w="120" w:type="dxa"/>
              <w:bottom w:w="90" w:type="dxa"/>
              <w:end w:w="120" w:type="dxa"/>
            </w:tcMar>
          </w:tcPr>
          <w:p>
            <w:pPr>
              <w:spacing w:after="40" w:line="252" w:lineRule="auto"/>
            </w:pPr>
            <w:r>
              <w:rPr>
                <w:rFonts w:ascii="Calibri" w:hAnsi="Calibri"/>
                <w:sz w:val="18"/>
              </w:rPr>
              <w:t>Maintenance</w:t>
            </w:r>
          </w:p>
        </w:tc>
        <w:tc>
          <w:tcPr>
            <w:tcW w:type="dxa" w:w="6860"/>
            <w:vAlign w:val="center"/>
            <w:tcMar>
              <w:top w:w="90" w:type="dxa"/>
              <w:start w:w="120" w:type="dxa"/>
              <w:bottom w:w="90" w:type="dxa"/>
              <w:end w:w="120" w:type="dxa"/>
            </w:tcMar>
          </w:tcPr>
          <w:p>
            <w:pPr>
              <w:spacing w:after="40" w:line="252" w:lineRule="auto"/>
            </w:pPr>
            <w:r>
              <w:rPr>
                <w:rFonts w:ascii="Calibri" w:hAnsi="Calibri"/>
                <w:sz w:val="18"/>
              </w:rPr>
              <w:t>Time required to update the dashboard if new data becomes available.</w:t>
            </w:r>
          </w:p>
        </w:tc>
      </w:tr>
    </w:tbl>
    <w:p>
      <w:pPr>
        <w:pStyle w:val="Heading2"/>
      </w:pPr>
      <w:r>
        <w:t>7.2 Expected Benefits</w:t>
      </w:r>
    </w:p>
    <w:p>
      <w:pPr>
        <w:pStyle w:val="ListBullet"/>
        <w:spacing w:after="80"/>
        <w:ind w:left="720" w:hanging="360"/>
      </w:pPr>
      <w:r>
        <w:t>Better targeting — helps the marketing team focus on customer groups that show stronger response.</w:t>
      </w:r>
    </w:p>
    <w:p>
      <w:pPr>
        <w:pStyle w:val="ListBullet"/>
        <w:spacing w:after="80"/>
        <w:ind w:left="720" w:hanging="360"/>
      </w:pPr>
      <w:r>
        <w:t>Time savings — reduces repeated manual analysis by using a reusable dashboard.</w:t>
      </w:r>
    </w:p>
    <w:p>
      <w:pPr>
        <w:pStyle w:val="ListBullet"/>
        <w:spacing w:after="80"/>
        <w:ind w:left="720" w:hanging="360"/>
      </w:pPr>
      <w:r>
        <w:t>Clearer decisions — provides one place to compare response, customer groups, spending, and purchase behavior.</w:t>
      </w:r>
    </w:p>
    <w:p>
      <w:pPr>
        <w:pStyle w:val="ListBullet"/>
        <w:spacing w:after="80"/>
        <w:ind w:left="720" w:hanging="360"/>
      </w:pPr>
      <w:r>
        <w:t>Lower promotion waste — may reduce unnecessary promotion spending by avoiding very broad targeting.</w:t>
      </w:r>
    </w:p>
    <w:p>
      <w:pPr>
        <w:pStyle w:val="ListBullet"/>
        <w:spacing w:after="80"/>
        <w:ind w:left="720" w:hanging="360"/>
      </w:pPr>
      <w:r>
        <w:t>Future improvement — provides useful ideas that can be tested in future campaigns.</w:t>
      </w:r>
    </w:p>
    <w:p>
      <w:pPr>
        <w:pStyle w:val="Heading2"/>
      </w:pPr>
      <w:r>
        <w:t>7.3 Overall Assessment</w:t>
      </w:r>
    </w:p>
    <w:p>
      <w:r>
        <w:t>The project is expected to offer a favorable, low-cost analytical benefit because it uses an existing dataset and produces reusable decision support. However, monetary ROI must remain unclaimed until campaign cost, margin, and controlled outcome data are available.</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973"/>
        <w:sz w:val="16"/>
      </w:rPr>
      <w:t xml:space="preserve">Retail Promotion Response Optimization Dashboard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PROMOSCOPE INSIGHTS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32F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Promotion Response Optimization Dashboard</dc:title>
  <dc:subject>Business Requirements Document</dc:subject>
  <dc:creator>PromoScope Insights</dc:creator>
  <cp:keywords/>
  <dc:description>generated by python-docx</dc:description>
  <cp:lastModifiedBy/>
  <cp:revision>1</cp:revision>
  <dcterms:created xsi:type="dcterms:W3CDTF">2013-12-23T23:15:00Z</dcterms:created>
  <dcterms:modified xsi:type="dcterms:W3CDTF">2013-12-23T23:15:00Z</dcterms:modified>
  <cp:category/>
</cp:coreProperties>
</file>