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E5C63"/>
          <w:sz w:val="40"/>
          <w:szCs w:val="40"/>
        </w:rPr>
        <w:t xml:space="preserve">Telco Customer Churn Analysis</w:t>
      </w:r>
    </w:p>
    <w:p>
      <w:pPr>
        <w:spacing w:after="240"/>
      </w:pPr>
      <w:r>
        <w:rPr>
          <w:i/>
          <w:iCs/>
          <w:color w:val="666666"/>
          <w:sz w:val="22"/>
          <w:szCs w:val="22"/>
        </w:rPr>
        <w:t xml:space="preserve">An end-to-end analysis of customer churn using SQL, Excel, Python, and Tableau — identifying key drivers of churn and quantifying revenue at risk for a telecom business.</w:t>
      </w:r>
    </w:p>
    <w:p>
      <w:pPr>
        <w:pStyle w:val="Heading1"/>
        <w:spacing w:after="150" w:before="300"/>
      </w:pPr>
      <w:r>
        <w:rPr>
          <w:b/>
          <w:bCs/>
          <w:color w:val="0E5C63"/>
          <w:sz w:val="32"/>
          <w:szCs w:val="32"/>
        </w:rPr>
        <w:t xml:space="preserve">Project Overview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This project analyzes a telecom company's customer data to answer: Why are customers leaving, and how much revenue is at risk because of it?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The analysis was conducted using a multi-tool workflow to reflect a real-world analytics pipeline — from raw data to a stakeholder-ready dashboard.</w:t>
      </w:r>
    </w:p>
    <w:p>
      <w:pPr>
        <w:pStyle w:val="Heading1"/>
        <w:spacing w:after="150" w:before="300"/>
      </w:pPr>
      <w:r>
        <w:rPr>
          <w:b/>
          <w:bCs/>
          <w:color w:val="0E5C63"/>
          <w:sz w:val="32"/>
          <w:szCs w:val="32"/>
        </w:rPr>
        <w:t xml:space="preserve">Tools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  <w:sz w:val="22"/>
          <w:szCs w:val="22"/>
        </w:rPr>
        <w:t xml:space="preserve">Python (pandas)</w:t>
      </w:r>
      <w:r>
        <w:rPr>
          <w:color w:val="222222"/>
          <w:sz w:val="22"/>
          <w:szCs w:val="22"/>
        </w:rPr>
        <w:t xml:space="preserve"> — data cleaning, initial exploratory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  <w:sz w:val="22"/>
          <w:szCs w:val="22"/>
        </w:rPr>
        <w:t xml:space="preserve">SQL (SQLite)</w:t>
      </w:r>
      <w:r>
        <w:rPr>
          <w:color w:val="222222"/>
          <w:sz w:val="22"/>
          <w:szCs w:val="22"/>
        </w:rPr>
        <w:t xml:space="preserve"> — business-question queries, aggregations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  <w:sz w:val="22"/>
          <w:szCs w:val="22"/>
        </w:rPr>
        <w:t xml:space="preserve">Excel</w:t>
      </w:r>
      <w:r>
        <w:rPr>
          <w:color w:val="222222"/>
          <w:sz w:val="22"/>
          <w:szCs w:val="22"/>
        </w:rPr>
        <w:t xml:space="preserve"> — pivot tables, percentage breakdowns,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  <w:sz w:val="22"/>
          <w:szCs w:val="22"/>
        </w:rPr>
        <w:t xml:space="preserve">Tableau</w:t>
      </w:r>
      <w:r>
        <w:rPr>
          <w:color w:val="222222"/>
          <w:sz w:val="22"/>
          <w:szCs w:val="22"/>
        </w:rPr>
        <w:t xml:space="preserve"> — final interactive dashboard</w:t>
      </w:r>
    </w:p>
    <w:p>
      <w:pPr>
        <w:pStyle w:val="Heading1"/>
        <w:spacing w:after="150" w:before="300"/>
      </w:pPr>
      <w:r>
        <w:rPr>
          <w:b/>
          <w:bCs/>
          <w:color w:val="0E5C63"/>
          <w:sz w:val="32"/>
          <w:szCs w:val="32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  <w:sz w:val="22"/>
          <w:szCs w:val="22"/>
        </w:rPr>
        <w:t xml:space="preserve">Contract type </w:t>
      </w:r>
      <w:r>
        <w:rPr>
          <w:color w:val="222222"/>
          <w:sz w:val="22"/>
          <w:szCs w:val="22"/>
        </w:rPr>
        <w:t xml:space="preserve"> is the strongest churn driver: Month-to-month customers churn at ~43%, vs. ~11% for one-year and ~3% for two-year contracts.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  <w:sz w:val="22"/>
          <w:szCs w:val="22"/>
        </w:rPr>
        <w:t xml:space="preserve">Electronic check </w:t>
      </w:r>
      <w:r>
        <w:rPr>
          <w:color w:val="222222"/>
          <w:sz w:val="22"/>
          <w:szCs w:val="22"/>
        </w:rPr>
        <w:t xml:space="preserve"> users churn at ~45%, nearly 3x higher than other payment methods.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  <w:sz w:val="22"/>
          <w:szCs w:val="22"/>
        </w:rPr>
        <w:t xml:space="preserve">Fiber optic </w:t>
      </w:r>
      <w:r>
        <w:rPr>
          <w:color w:val="222222"/>
          <w:sz w:val="22"/>
          <w:szCs w:val="22"/>
        </w:rPr>
        <w:t xml:space="preserve"> internet customers churn at ~42%, compared to ~19% for DSL.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  <w:sz w:val="22"/>
          <w:szCs w:val="22"/>
        </w:rPr>
        <w:t xml:space="preserve">Customers without dependents </w:t>
      </w:r>
      <w:r>
        <w:rPr>
          <w:color w:val="222222"/>
          <w:sz w:val="22"/>
          <w:szCs w:val="22"/>
        </w:rPr>
        <w:t xml:space="preserve"> churn at ~31%, nearly double the rate of those with dependents (~15%).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  <w:sz w:val="22"/>
          <w:szCs w:val="22"/>
        </w:rPr>
        <w:t xml:space="preserve">Gender showed no meaningful impact </w:t>
      </w:r>
      <w:r>
        <w:rPr>
          <w:color w:val="222222"/>
          <w:sz w:val="22"/>
          <w:szCs w:val="22"/>
        </w:rPr>
        <w:t xml:space="preserve"> on churn (~27% vs ~26%).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  <w:sz w:val="22"/>
          <w:szCs w:val="22"/>
        </w:rPr>
        <w:t xml:space="preserve">Churned customers represent ~$139,000/month in revenue at risk </w:t>
      </w:r>
      <w:r>
        <w:rPr>
          <w:color w:val="222222"/>
          <w:sz w:val="22"/>
          <w:szCs w:val="22"/>
        </w:rPr>
        <w:t xml:space="preserve"> — roughly 30.5% of total monthly revenue, despite being only 26.5% of the customer base.</w:t>
      </w:r>
    </w:p>
    <w:p>
      <w:pPr>
        <w:pStyle w:val="Heading1"/>
        <w:spacing w:after="150" w:before="300"/>
      </w:pPr>
      <w:r>
        <w:rPr>
          <w:b/>
          <w:bCs/>
          <w:color w:val="0E5C63"/>
          <w:sz w:val="32"/>
          <w:szCs w:val="32"/>
        </w:rPr>
        <w:t xml:space="preserve">Repository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0E5C63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200"/>
            <w:shd w:fill="0E5C63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/data</w:t>
            </w:r>
          </w:p>
        </w:tc>
        <w:tc>
          <w:tcPr>
            <w:tcW w:type="dxa" w:w="6200"/>
            <w:shd w:fill="FFFFFF" w:color="auto" w:val="clea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Cleaned dataset used across all tools</w:t>
            </w:r>
          </w:p>
        </w:tc>
      </w:tr>
      <w:tr>
        <w:tc>
          <w:tcPr>
            <w:tcW w:type="dxa" w:w="2800"/>
            <w:shd w:fill="F4F7F7" w:color="auto" w:val="clea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/sql</w:t>
            </w:r>
          </w:p>
        </w:tc>
        <w:tc>
          <w:tcPr>
            <w:tcW w:type="dxa" w:w="6200"/>
            <w:shd w:fill="F4F7F7" w:color="auto" w:val="clea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Business-question SQL queries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/excel</w:t>
            </w:r>
          </w:p>
        </w:tc>
        <w:tc>
          <w:tcPr>
            <w:tcW w:type="dxa" w:w="6200"/>
            <w:shd w:fill="FFFFFF" w:color="auto" w:val="clea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Pivot table analysis</w:t>
            </w:r>
          </w:p>
        </w:tc>
      </w:tr>
      <w:tr>
        <w:tc>
          <w:tcPr>
            <w:tcW w:type="dxa" w:w="2800"/>
            <w:shd w:fill="F4F7F7" w:color="auto" w:val="clea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/tableau</w:t>
            </w:r>
          </w:p>
        </w:tc>
        <w:tc>
          <w:tcPr>
            <w:tcW w:type="dxa" w:w="6200"/>
            <w:shd w:fill="F4F7F7" w:color="auto" w:val="clea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Interactive dashboard (.twbx)</w:t>
            </w:r>
          </w:p>
        </w:tc>
      </w:tr>
      <w:tr>
        <w:tc>
          <w:tcPr>
            <w:tcW w:type="dxa" w:w="2800"/>
            <w:shd w:fill="FFFFFF" w:color="auto" w:val="clea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/screenshots</w:t>
            </w:r>
          </w:p>
        </w:tc>
        <w:tc>
          <w:tcPr>
            <w:tcW w:type="dxa" w:w="6200"/>
            <w:shd w:fill="FFFFFF" w:color="auto" w:val="clea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 preview image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50" w:before="300"/>
      </w:pPr>
      <w:r>
        <w:rPr>
          <w:b/>
          <w:bCs/>
          <w:color w:val="0E5C63"/>
          <w:sz w:val="32"/>
          <w:szCs w:val="32"/>
        </w:rPr>
        <w:t xml:space="preserve">Dashboard Preview</w:t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See screenshots/dashboard_preview.png for the final Tableau dashboard.</w:t>
      </w:r>
    </w:p>
    <w:p>
      <w:pPr>
        <w:pStyle w:val="Heading1"/>
        <w:spacing w:after="150" w:before="300"/>
      </w:pPr>
      <w:r>
        <w:rPr>
          <w:b/>
          <w:bCs/>
          <w:color w:val="0E5C63"/>
          <w:sz w:val="32"/>
          <w:szCs w:val="32"/>
        </w:rPr>
        <w:t xml:space="preserve">Business Recommendation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Focus retention efforts on month-to-month, fiber-optic customers paying via electronic check — this segment shows disproportionately high churn risk and represents significant recoverable revenue.</w:t>
      </w:r>
    </w:p>
    <w:p>
      <w:pPr>
        <w:pStyle w:val="Heading1"/>
        <w:spacing w:after="150" w:before="300"/>
      </w:pPr>
      <w:r>
        <w:rPr>
          <w:b/>
          <w:bCs/>
          <w:color w:val="0E5C63"/>
          <w:sz w:val="32"/>
          <w:szCs w:val="32"/>
        </w:rPr>
        <w:t xml:space="preserve">Dataset Source</w:t>
      </w:r>
    </w:p>
    <w:p>
      <w:pPr>
        <w:spacing w:after="120"/>
      </w:pPr>
      <w:hyperlink w:history="1" r:id="rIddms7om8sgvwt7omvqp9en">
        <w:r>
          <w:rPr>
            <w:color w:val="1155CC"/>
            <w:sz w:val="22"/>
            <w:szCs w:val="22"/>
            <w:u w:val="single"/>
          </w:rPr>
          <w:t xml:space="preserve">Telco Customer Churn — Kaggle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ms7om8sgvwt7omvqp9en" Type="http://schemas.openxmlformats.org/officeDocument/2006/relationships/hyperlink" Target="https://www.kaggle.com/datasets/blastchar/telco-customer-churn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2026-07-04T13:28:02.525Z</dcterms:created>
  <dcterms:modified xsi:type="dcterms:W3CDTF">2026-07-04T13:28:02.525Z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