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ImageHost 全新项目需求二次检验报告</w:t>
      </w:r>
    </w:p>
    <w:p>
      <w:r>
        <w:rPr>
          <w:b w:val="0"/>
        </w:rPr>
        <w:t xml:space="preserve">文档编号：IH-RVR-001</w:t>
      </w:r>
      <w:r>
        <w:rPr>
          <w:b w:val="0"/>
        </w:rPr>
        <w:br/>
        <w:t xml:space="preserve">版本：1.1</w:t>
      </w:r>
      <w:r>
        <w:rPr>
          <w:b w:val="0"/>
        </w:rPr>
        <w:br/>
        <w:t xml:space="preserve">检验日期：2026-10-03</w:t>
      </w:r>
      <w:r>
        <w:rPr>
          <w:b w:val="0"/>
        </w:rPr>
        <w:br/>
        <w:t xml:space="preserve">检验对象：requirements-analysis.md，版本 1.1</w:t>
      </w:r>
      <w:r>
        <w:rPr>
          <w:b w:val="0"/>
        </w:rPr>
        <w:br/>
        <w:t xml:space="preserve">关联文档：unit-test-design.md</w:t>
      </w:r>
    </w:p>
    <w:p>
      <w:pPr>
        <w:pStyle w:val="Heading1"/>
      </w:pPr>
      <w:r>
        <w:rPr>
          <w:b w:val="0"/>
        </w:rPr>
        <w:t>1 检验结论与适用范围</w:t>
      </w:r>
    </w:p>
    <w:p>
      <w:r>
        <w:rPr>
          <w:b w:val="0"/>
        </w:rPr>
        <w:t>需求已完成源码与历史文档核对、独立二次审查及主线程修订，可作为新项目技术设计和测试设计的业务基线。正式需求共 101 条：首版 V1 为 90 条，V2 个人可选云同步为 8 条，V3 扩展边界为 3 条。本文的“闭合”表示文档中已明确规则，不表示软件已经实现或通过测试。</w:t>
      </w:r>
    </w:p>
    <w:p>
      <w:r>
        <w:rPr>
          <w:b w:val="0"/>
        </w:rPr>
        <w:t>独立审查发现 6 项主要问题及 4 项补充建议；复核又补清状态转换与像素细节。主线程逐项修改需求后，独立审查确认主要问题闭合，可以进入测试设计。随后以测试设计反查需求及编号映射，形成最终交付基线。</w:t>
      </w:r>
    </w:p>
    <w:p>
      <w:r>
        <w:rPr>
          <w:b w:val="0"/>
        </w:rPr>
        <w:t>本次交付限定为六份 Markdown/Word 文档。未初始化新应用，未修改旧源码，未编写或执行新版测试代码，未读取旧应用运行图库或凭据，未要求旧格式兼容，未进行真实图床上传。文档参考需求与测试标准的公开方向，不构成标准认证或正式符合性评估。</w:t>
      </w:r>
    </w:p>
    <w:p>
      <w:pPr>
        <w:pStyle w:val="Heading1"/>
      </w:pPr>
      <w:r>
        <w:rPr>
          <w:b w:val="0"/>
        </w:rPr>
        <w:t>2 方法与检查依据</w:t>
      </w:r>
    </w:p>
    <w:p>
      <w:pPr>
        <w:pStyle w:val="Heading2"/>
      </w:pPr>
      <w:r>
        <w:rPr>
          <w:b w:val="0"/>
        </w:rPr>
        <w:t>2.1 检验顺序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115" w:type="dxa"/>
          <w:right w:w="115" w:type="dxa"/>
        </w:tblCellMar>
      </w:tblPr>
      <w:tblGrid>
        <w:gridCol w:w="1307"/>
        <w:gridCol w:w="4992"/>
        <w:gridCol w:w="3637"/>
      </w:tblGrid>
      <w:tr>
        <w:trPr>
          <w:tblHeader/>
        </w:trPr>
        <w:tc>
          <w:tcPr>
            <w:tcW w:type="dxa" w:w="1307"/>
            <w:vAlign w:val="center"/>
            <w:shd w:fill="E7EEF3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/>
                <w:sz w:val="21"/>
              </w:rPr>
              <w:t>轮次</w:t>
            </w:r>
          </w:p>
        </w:tc>
        <w:tc>
          <w:tcPr>
            <w:tcW w:type="dxa" w:w="4992"/>
            <w:vAlign w:val="center"/>
            <w:shd w:fill="E7EEF3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/>
                <w:sz w:val="21"/>
              </w:rPr>
              <w:t>执行内容</w:t>
            </w:r>
          </w:p>
        </w:tc>
        <w:tc>
          <w:tcPr>
            <w:tcW w:type="dxa" w:w="3637"/>
            <w:vAlign w:val="center"/>
            <w:shd w:fill="E7EEF3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/>
                <w:sz w:val="21"/>
              </w:rPr>
              <w:t>进入下一阶段的条件</w:t>
            </w:r>
          </w:p>
        </w:tc>
      </w:tr>
      <w:tr>
        <w:tc>
          <w:tcPr>
            <w:tcW w:type="dxa" w:w="1307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来源核对</w:t>
            </w:r>
          </w:p>
        </w:tc>
        <w:tc>
          <w:tcPr>
            <w:tcW w:type="dxa" w:w="4992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读取真实导入、处理、上传、保存、设置及日志调用链，核对项目全部业务文档与技能约定</w:t>
            </w:r>
          </w:p>
        </w:tc>
        <w:tc>
          <w:tcPr>
            <w:tcW w:type="dxa" w:w="3637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区分当前实现、历史目标及新增完善，建立来源标识</w:t>
            </w:r>
          </w:p>
        </w:tc>
      </w:tr>
      <w:tr>
        <w:tc>
          <w:tcPr>
            <w:tcW w:type="dxa" w:w="1307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初稿自检</w:t>
            </w:r>
          </w:p>
        </w:tc>
        <w:tc>
          <w:tcPr>
            <w:tcW w:type="dxa" w:w="4992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主线程建立产品边界、数据实体、不变量、默认策略及正式条款</w:t>
            </w:r>
          </w:p>
        </w:tc>
        <w:tc>
          <w:tcPr>
            <w:tcW w:type="dxa" w:w="3637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每条有唯一编号、阶段、优先级、来源、行为和验收条件</w:t>
            </w:r>
          </w:p>
        </w:tc>
      </w:tr>
      <w:tr>
        <w:tc>
          <w:tcPr>
            <w:tcW w:type="dxa" w:w="1307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独立二次审查</w:t>
            </w:r>
          </w:p>
        </w:tc>
        <w:tc>
          <w:tcPr>
            <w:tcW w:type="dxa" w:w="4992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Sol（gpt-6.1-sol，high）完整只读审查需求并核对旧源码主要入口</w:t>
            </w:r>
          </w:p>
        </w:tc>
        <w:tc>
          <w:tcPr>
            <w:tcW w:type="dxa" w:w="3637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报告遗漏、冲突、无法验收及越界问题</w:t>
            </w:r>
          </w:p>
        </w:tc>
      </w:tr>
      <w:tr>
        <w:tc>
          <w:tcPr>
            <w:tcW w:type="dxa" w:w="1307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修订复核</w:t>
            </w:r>
          </w:p>
        </w:tc>
        <w:tc>
          <w:tcPr>
            <w:tcW w:type="dxa" w:w="4992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主线程逐项处理；独立审查复核关键修改；主线程核对最后像素与参数补充</w:t>
            </w:r>
          </w:p>
        </w:tc>
        <w:tc>
          <w:tcPr>
            <w:tcW w:type="dxa" w:w="3637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首版主要歧义解决，不把选择留给测试预期</w:t>
            </w:r>
          </w:p>
        </w:tc>
      </w:tr>
      <w:tr>
        <w:tc>
          <w:tcPr>
            <w:tcW w:type="dxa" w:w="1307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测试反查</w:t>
            </w:r>
          </w:p>
        </w:tc>
        <w:tc>
          <w:tcPr>
            <w:tcW w:type="dxa" w:w="4992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依据修订基线编写测试设计，主线程检查预期是否可由条款推出</w:t>
            </w:r>
          </w:p>
        </w:tc>
        <w:tc>
          <w:tcPr>
            <w:tcW w:type="dxa" w:w="3637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需求与验证双向关联，未来能力不计入首版</w:t>
            </w:r>
          </w:p>
        </w:tc>
      </w:tr>
      <w:tr>
        <w:tc>
          <w:tcPr>
            <w:tcW w:type="dxa" w:w="1307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格式核验</w:t>
            </w:r>
          </w:p>
        </w:tc>
        <w:tc>
          <w:tcPr>
            <w:tcW w:type="dxa" w:w="4992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Markdown 生成 Word，检查正文、表格、编号、链接与覆盖矩阵</w:t>
            </w:r>
          </w:p>
        </w:tc>
        <w:tc>
          <w:tcPr>
            <w:tcW w:type="dxa" w:w="3637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六份文件完整、两格式内容和结构一致</w:t>
            </w:r>
          </w:p>
        </w:tc>
      </w:tr>
    </w:tbl>
    <w:p>
      <w:pPr>
        <w:pStyle w:val="Heading2"/>
      </w:pPr>
      <w:r>
        <w:rPr>
          <w:b w:val="0"/>
        </w:rPr>
        <w:t>2.2 质量检查原则</w:t>
      </w:r>
    </w:p>
    <w:p>
      <w:r>
        <w:rPr>
          <w:b w:val="0"/>
        </w:rPr>
        <w:t xml:space="preserve">组织方向参考 </w:t>
      </w:r>
      <w:hyperlink r:id="rId11">
        <w:r>
          <w:rPr>
            <w:color w:val="24506B"/>
            <w:rFonts w:eastAsia="Microsoft YaHei"/>
          </w:rPr>
          <w:t>ISO/IEC/IEEE 29148</w:t>
        </w:r>
      </w:hyperlink>
      <w:r>
        <w:rPr>
          <w:b w:val="0"/>
        </w:rPr>
        <w:t xml:space="preserve">，条款质量参考 </w:t>
      </w:r>
      <w:hyperlink r:id="rId12">
        <w:r>
          <w:rPr>
            <w:color w:val="24506B"/>
            <w:rFonts w:eastAsia="Microsoft YaHei"/>
          </w:rPr>
          <w:t>NASA 系统工程手册附录</w:t>
        </w:r>
      </w:hyperlink>
      <w:r>
        <w:rPr>
          <w:b w:val="0"/>
        </w:rPr>
        <w:t>。重点检查必要性、清晰性、完整性、一致性、唯一性、可验证性、追踪性及技术中立性。不复制付费标准正文，不声称逐条完成正式符合性评估。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115" w:type="dxa"/>
          <w:right w:w="115" w:type="dxa"/>
        </w:tblCellMar>
      </w:tblPr>
      <w:tblGrid>
        <w:gridCol w:w="1501"/>
        <w:gridCol w:w="4461"/>
        <w:gridCol w:w="3974"/>
      </w:tblGrid>
      <w:tr>
        <w:trPr>
          <w:tblHeader/>
        </w:trPr>
        <w:tc>
          <w:tcPr>
            <w:tcW w:type="dxa" w:w="1501"/>
            <w:vAlign w:val="center"/>
            <w:shd w:fill="E7EEF3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/>
                <w:sz w:val="21"/>
              </w:rPr>
              <w:t>检查项</w:t>
            </w:r>
          </w:p>
        </w:tc>
        <w:tc>
          <w:tcPr>
            <w:tcW w:type="dxa" w:w="4461"/>
            <w:vAlign w:val="center"/>
            <w:shd w:fill="E7EEF3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/>
                <w:sz w:val="21"/>
              </w:rPr>
              <w:t>判定依据</w:t>
            </w:r>
          </w:p>
        </w:tc>
        <w:tc>
          <w:tcPr>
            <w:tcW w:type="dxa" w:w="3974"/>
            <w:vAlign w:val="center"/>
            <w:shd w:fill="E7EEF3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/>
                <w:sz w:val="21"/>
              </w:rPr>
              <w:t>结果</w:t>
            </w:r>
          </w:p>
        </w:tc>
      </w:tr>
      <w:tr>
        <w:tc>
          <w:tcPr>
            <w:tcW w:type="dxa" w:w="1501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必要性</w:t>
            </w:r>
          </w:p>
        </w:tc>
        <w:tc>
          <w:tcPr>
            <w:tcW w:type="dxa" w:w="4461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能关联到用户边界、现有业务意图或明确的风险完善</w:t>
            </w:r>
          </w:p>
        </w:tc>
        <w:tc>
          <w:tcPr>
            <w:tcW w:type="dxa" w:w="3974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正式条款均有来源；SRC-O 明示为新版补充</w:t>
            </w:r>
          </w:p>
        </w:tc>
      </w:tr>
      <w:tr>
        <w:tc>
          <w:tcPr>
            <w:tcW w:type="dxa" w:w="1501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清晰性</w:t>
            </w:r>
          </w:p>
        </w:tc>
        <w:tc>
          <w:tcPr>
            <w:tcW w:type="dxa" w:w="4461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参与对象、输入、成功证据及异常动作明确</w:t>
            </w:r>
          </w:p>
        </w:tc>
        <w:tc>
          <w:tcPr>
            <w:tcW w:type="dxa" w:w="3974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补清重试、超时、回收到期、冲突有效值</w:t>
            </w:r>
          </w:p>
        </w:tc>
      </w:tr>
      <w:tr>
        <w:tc>
          <w:tcPr>
            <w:tcW w:type="dxa" w:w="1501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完整性</w:t>
            </w:r>
          </w:p>
        </w:tc>
        <w:tc>
          <w:tcPr>
            <w:tcW w:type="dxa" w:w="4461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覆盖本地闭环、四端、外部图床及数据保护</w:t>
            </w:r>
          </w:p>
        </w:tc>
        <w:tc>
          <w:tcPr>
            <w:tcW w:type="dxa" w:w="3974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原项目主要能力都有新版映射</w:t>
            </w:r>
          </w:p>
        </w:tc>
      </w:tr>
      <w:tr>
        <w:tc>
          <w:tcPr>
            <w:tcW w:type="dxa" w:w="1501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一致性</w:t>
            </w:r>
          </w:p>
        </w:tc>
        <w:tc>
          <w:tcPr>
            <w:tcW w:type="dxa" w:w="4461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删除、任务、备份、清理、同步的规则互相兼容</w:t>
            </w:r>
          </w:p>
        </w:tc>
        <w:tc>
          <w:tcPr>
            <w:tcW w:type="dxa" w:w="3974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关键矛盾已修订，见第 3 章</w:t>
            </w:r>
          </w:p>
        </w:tc>
      </w:tr>
      <w:tr>
        <w:tc>
          <w:tcPr>
            <w:tcW w:type="dxa" w:w="1501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唯一性</w:t>
            </w:r>
          </w:p>
        </w:tc>
        <w:tc>
          <w:tcPr>
            <w:tcW w:type="dxa" w:w="4461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正式编号唯一，任务/尝试/结果身份分离</w:t>
            </w:r>
          </w:p>
        </w:tc>
        <w:tc>
          <w:tcPr>
            <w:tcW w:type="dxa" w:w="3974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101 个正式编号无重复</w:t>
            </w:r>
          </w:p>
        </w:tc>
      </w:tr>
      <w:tr>
        <w:tc>
          <w:tcPr>
            <w:tcW w:type="dxa" w:w="1501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可验证性</w:t>
            </w:r>
          </w:p>
        </w:tc>
        <w:tc>
          <w:tcPr>
            <w:tcW w:type="dxa" w:w="4461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可从条款得到明确预期，不仅使用“可靠”“快速”</w:t>
            </w:r>
          </w:p>
        </w:tc>
        <w:tc>
          <w:tcPr>
            <w:tcW w:type="dxa" w:w="3974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正式条款均有验收及验证类型</w:t>
            </w:r>
          </w:p>
        </w:tc>
      </w:tr>
      <w:tr>
        <w:tc>
          <w:tcPr>
            <w:tcW w:type="dxa" w:w="1501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可追踪性</w:t>
            </w:r>
          </w:p>
        </w:tc>
        <w:tc>
          <w:tcPr>
            <w:tcW w:type="dxa" w:w="4461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来源—需求—验证方案可以查到双方</w:t>
            </w:r>
          </w:p>
        </w:tc>
        <w:tc>
          <w:tcPr>
            <w:tcW w:type="dxa" w:w="3974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来源附录与逐需求测试矩阵相互关联</w:t>
            </w:r>
          </w:p>
        </w:tc>
      </w:tr>
      <w:tr>
        <w:tc>
          <w:tcPr>
            <w:tcW w:type="dxa" w:w="1501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技术中立性</w:t>
            </w:r>
          </w:p>
        </w:tc>
        <w:tc>
          <w:tcPr>
            <w:tcW w:type="dxa" w:w="4461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不限制新界面、框架、语言、数据库或 SDK</w:t>
            </w:r>
          </w:p>
        </w:tc>
        <w:tc>
          <w:tcPr>
            <w:tcW w:type="dxa" w:w="3974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旧技术仅在来源审计路径出现</w:t>
            </w:r>
          </w:p>
        </w:tc>
      </w:tr>
      <w:tr>
        <w:tc>
          <w:tcPr>
            <w:tcW w:type="dxa" w:w="1501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外部准确性</w:t>
            </w:r>
          </w:p>
        </w:tc>
        <w:tc>
          <w:tcPr>
            <w:tcW w:type="dxa" w:w="4461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约束有官方来源与核查日期，不放大承诺</w:t>
            </w:r>
          </w:p>
        </w:tc>
        <w:tc>
          <w:tcPr>
            <w:tcW w:type="dxa" w:w="3974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官方资料以 2026-10-03 核查记录为准，实施前重新核查</w:t>
            </w:r>
          </w:p>
        </w:tc>
      </w:tr>
    </w:tbl>
    <w:p>
      <w:pPr>
        <w:pStyle w:val="Heading1"/>
      </w:pPr>
      <w:r>
        <w:rPr>
          <w:b w:val="0"/>
        </w:rPr>
        <w:t>3 发现、修订与关闭证据</w:t>
      </w:r>
    </w:p>
    <w:p>
      <w:r>
        <w:rPr>
          <w:b w:val="0"/>
        </w:rPr>
        <w:t>以下严重性针对需求文档，不是代码缺陷分级。原问题位置用稳定需求编号和章节表示，避免修订后旧行号失效。每项均已在最终需求源文件修订；新增默认值均属于 SRC-O，不能当作旧软件实测数据。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115" w:type="dxa"/>
          <w:right w:w="115" w:type="dxa"/>
        </w:tblCellMar>
      </w:tblPr>
      <w:tblGrid>
        <w:gridCol w:w="824"/>
        <w:gridCol w:w="1323"/>
        <w:gridCol w:w="2631"/>
        <w:gridCol w:w="4340"/>
        <w:gridCol w:w="817"/>
      </w:tblGrid>
      <w:tr>
        <w:trPr>
          <w:tblHeader/>
        </w:trPr>
        <w:tc>
          <w:tcPr>
            <w:tcW w:type="dxa" w:w="824"/>
            <w:vAlign w:val="center"/>
            <w:shd w:fill="E7EEF3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/>
                <w:sz w:val="21"/>
              </w:rPr>
              <w:t xml:space="preserve">记录</w:t>
            </w:r>
          </w:p>
        </w:tc>
        <w:tc>
          <w:tcPr>
            <w:tcW w:type="dxa" w:w="1323"/>
            <w:vAlign w:val="center"/>
            <w:shd w:fill="E7EEF3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/>
                <w:sz w:val="21"/>
              </w:rPr>
              <w:t xml:space="preserve">来源与严重性</w:t>
            </w:r>
          </w:p>
        </w:tc>
        <w:tc>
          <w:tcPr>
            <w:tcW w:type="dxa" w:w="2631"/>
            <w:vAlign w:val="center"/>
            <w:shd w:fill="E7EEF3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/>
                <w:sz w:val="21"/>
              </w:rPr>
              <w:t xml:space="preserve">发现</w:t>
            </w:r>
          </w:p>
        </w:tc>
        <w:tc>
          <w:tcPr>
            <w:tcW w:type="dxa" w:w="4340"/>
            <w:vAlign w:val="center"/>
            <w:shd w:fill="E7EEF3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/>
                <w:sz w:val="21"/>
              </w:rPr>
              <w:t xml:space="preserve">最终修订位置与结果</w:t>
            </w:r>
          </w:p>
        </w:tc>
        <w:tc>
          <w:tcPr>
            <w:tcW w:type="dxa" w:w="817"/>
            <w:vAlign w:val="center"/>
            <w:shd w:fill="E7EEF3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/>
                <w:sz w:val="21"/>
              </w:rPr>
              <w:t xml:space="preserve">状态</w:t>
            </w:r>
          </w:p>
        </w:tc>
      </w:tr>
      <w:tr>
        <w:tc>
          <w:tcPr>
            <w:tcW w:type="dxa" w:w="824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R-01</w:t>
            </w:r>
          </w:p>
        </w:tc>
        <w:tc>
          <w:tcPr>
            <w:tcW w:type="dxa" w:w="132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独立审查／主要</w:t>
            </w:r>
          </w:p>
        </w:tc>
        <w:tc>
          <w:tcPr>
            <w:tcW w:type="dxa" w:w="2631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自动退避重试无合法任务状态路径，任务与尝试混用</w:t>
            </w:r>
          </w:p>
        </w:tc>
        <w:tc>
          <w:tcPr>
            <w:tcW w:type="dxa" w:w="4340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8.1、QUE-006：失败尝试终结，任务 waiting→queued，新建下一尝试；任务终态重做新任务</w:t>
            </w:r>
          </w:p>
        </w:tc>
        <w:tc>
          <w:tcPr>
            <w:tcW w:type="dxa" w:w="817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已闭合</w:t>
            </w:r>
          </w:p>
        </w:tc>
      </w:tr>
      <w:tr>
        <w:tc>
          <w:tcPr>
            <w:tcW w:type="dxa" w:w="824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R-02</w:t>
            </w:r>
          </w:p>
        </w:tc>
        <w:tc>
          <w:tcPr>
            <w:tcW w:type="dxa" w:w="132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独立审查／主要</w:t>
            </w:r>
          </w:p>
        </w:tc>
        <w:tc>
          <w:tcPr>
            <w:tcW w:type="dxa" w:w="2631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全部设置只影响新任务与运行中降低并发冲突</w:t>
            </w:r>
          </w:p>
        </w:tc>
        <w:tc>
          <w:tcPr>
            <w:tcW w:type="dxa" w:w="4340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4.2、QUE-002、OPS-001：冻结输入策略；调度条件动态作用于未派发项，已运行项不强杀</w:t>
            </w:r>
          </w:p>
        </w:tc>
        <w:tc>
          <w:tcPr>
            <w:tcW w:type="dxa" w:w="817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已闭合</w:t>
            </w:r>
          </w:p>
        </w:tc>
      </w:tr>
      <w:tr>
        <w:tc>
          <w:tcPr>
            <w:tcW w:type="dxa" w:w="824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R-03</w:t>
            </w:r>
          </w:p>
        </w:tc>
        <w:tc>
          <w:tcPr>
            <w:tcW w:type="dxa" w:w="132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独立审查／主要</w:t>
            </w:r>
          </w:p>
        </w:tc>
        <w:tc>
          <w:tcPr>
            <w:tcW w:type="dxa" w:w="2631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回收 30 天到期删除对象与确认规则不明</w:t>
            </w:r>
          </w:p>
        </w:tc>
        <w:tc>
          <w:tcPr>
            <w:tcW w:type="dxa" w:w="4340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4.2、LIB-007：到期仅提示，未确认继续保留记录、链接和字节，仍可恢复</w:t>
            </w:r>
          </w:p>
        </w:tc>
        <w:tc>
          <w:tcPr>
            <w:tcW w:type="dxa" w:w="817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已闭合</w:t>
            </w:r>
          </w:p>
        </w:tc>
      </w:tr>
      <w:tr>
        <w:tc>
          <w:tcPr>
            <w:tcW w:type="dxa" w:w="824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R-04</w:t>
            </w:r>
          </w:p>
        </w:tc>
        <w:tc>
          <w:tcPr>
            <w:tcW w:type="dxa" w:w="132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独立审查／主要</w:t>
            </w:r>
          </w:p>
        </w:tc>
        <w:tc>
          <w:tcPr>
            <w:tcW w:type="dxa" w:w="2631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成功、取消、未知及活动混合时总体状态不确定</w:t>
            </w:r>
          </w:p>
        </w:tc>
        <w:tc>
          <w:tcPr>
            <w:tcW w:type="dxa" w:w="4340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8.2、UPL-002、QUE-009：固定发布项集合、六级判定顺序、五类计数；晚到结果单独留存</w:t>
            </w:r>
          </w:p>
        </w:tc>
        <w:tc>
          <w:tcPr>
            <w:tcW w:type="dxa" w:w="817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已闭合</w:t>
            </w:r>
          </w:p>
        </w:tc>
      </w:tr>
      <w:tr>
        <w:tc>
          <w:tcPr>
            <w:tcW w:type="dxa" w:w="824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R-05</w:t>
            </w:r>
          </w:p>
        </w:tc>
        <w:tc>
          <w:tcPr>
            <w:tcW w:type="dxa" w:w="132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独立审查／主要</w:t>
            </w:r>
          </w:p>
        </w:tc>
        <w:tc>
          <w:tcPr>
            <w:tcW w:type="dxa" w:w="2631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备份合并身份冲突、关联重映射及在途写入未定义</w:t>
            </w:r>
          </w:p>
        </w:tc>
        <w:tc>
          <w:tcPr>
            <w:tcW w:type="dxa" w:w="4340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BAK-004/005：同内容复用重映射，同身份异内容新身份；按确认身份去重；保留回收状态；恢复隔离旧任务写入</w:t>
            </w:r>
          </w:p>
        </w:tc>
        <w:tc>
          <w:tcPr>
            <w:tcW w:type="dxa" w:w="817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已闭合</w:t>
            </w:r>
          </w:p>
        </w:tc>
      </w:tr>
      <w:tr>
        <w:tc>
          <w:tcPr>
            <w:tcW w:type="dxa" w:w="824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R-06</w:t>
            </w:r>
          </w:p>
        </w:tc>
        <w:tc>
          <w:tcPr>
            <w:tcW w:type="dxa" w:w="132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独立审查／主要</w:t>
            </w:r>
          </w:p>
        </w:tc>
        <w:tc>
          <w:tcPr>
            <w:tcW w:type="dxa" w:w="2631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创建后更新凭据的 queued 任务使用哪份秘密未定义</w:t>
            </w:r>
          </w:p>
        </w:tc>
        <w:tc>
          <w:tcPr>
            <w:tcW w:type="dxa" w:w="4340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ACC-005、4.2：派发时读取当前秘密，目标身份冻结；失去凭据等待，停用阻止派发，晚到结果保留</w:t>
            </w:r>
          </w:p>
        </w:tc>
        <w:tc>
          <w:tcPr>
            <w:tcW w:type="dxa" w:w="817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已闭合</w:t>
            </w:r>
          </w:p>
        </w:tc>
      </w:tr>
      <w:tr>
        <w:tc>
          <w:tcPr>
            <w:tcW w:type="dxa" w:w="824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R-07</w:t>
            </w:r>
          </w:p>
        </w:tc>
        <w:tc>
          <w:tcPr>
            <w:tcW w:type="dxa" w:w="132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独立审查／补充</w:t>
            </w:r>
          </w:p>
        </w:tc>
        <w:tc>
          <w:tcPr>
            <w:tcW w:type="dxa" w:w="2631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可配置超时没有范围及计时边界</w:t>
            </w:r>
          </w:p>
        </w:tc>
        <w:tc>
          <w:tcPr>
            <w:tcW w:type="dxa" w:w="4340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4.2：首版固定无进展 120 秒与单次运行累计 30 分钟，排除离线、暂停、退避</w:t>
            </w:r>
          </w:p>
        </w:tc>
        <w:tc>
          <w:tcPr>
            <w:tcW w:type="dxa" w:w="817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已闭合</w:t>
            </w:r>
          </w:p>
        </w:tc>
      </w:tr>
      <w:tr>
        <w:tc>
          <w:tcPr>
            <w:tcW w:type="dxa" w:w="824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R-08</w:t>
            </w:r>
          </w:p>
        </w:tc>
        <w:tc>
          <w:tcPr>
            <w:tcW w:type="dxa" w:w="132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独立审查／补充</w:t>
            </w:r>
          </w:p>
        </w:tc>
        <w:tc>
          <w:tcPr>
            <w:tcW w:type="dxa" w:w="2631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首版各静态格式处理矩阵和动画预览不完整</w:t>
            </w:r>
          </w:p>
        </w:tc>
        <w:tc>
          <w:tcPr>
            <w:tcW w:type="dxa" w:w="4340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IMG-004：五种静态输入均处理，输出 PNG/JPEG/静态 WebP；动画播放预览/暂停与原样上传必需，动画重编码不承诺</w:t>
            </w:r>
          </w:p>
        </w:tc>
        <w:tc>
          <w:tcPr>
            <w:tcW w:type="dxa" w:w="817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已闭合</w:t>
            </w:r>
          </w:p>
        </w:tc>
      </w:tr>
      <w:tr>
        <w:tc>
          <w:tcPr>
            <w:tcW w:type="dxa" w:w="824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R-09</w:t>
            </w:r>
          </w:p>
        </w:tc>
        <w:tc>
          <w:tcPr>
            <w:tcW w:type="dxa" w:w="132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独立审查／补充</w:t>
            </w:r>
          </w:p>
        </w:tc>
        <w:tc>
          <w:tcPr>
            <w:tcW w:type="dxa" w:w="2631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同步冲突未解决时检索、导出与编辑的有效值不明确</w:t>
            </w:r>
          </w:p>
        </w:tc>
        <w:tc>
          <w:tcPr>
            <w:tcW w:type="dxa" w:w="4340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SYN-004：最后共同无冲突值有效，无共同值标未解决；候选保留，后续编辑须明确解决</w:t>
            </w:r>
          </w:p>
        </w:tc>
        <w:tc>
          <w:tcPr>
            <w:tcW w:type="dxa" w:w="817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已闭合</w:t>
            </w:r>
          </w:p>
        </w:tc>
      </w:tr>
      <w:tr>
        <w:tc>
          <w:tcPr>
            <w:tcW w:type="dxa" w:w="824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R-10</w:t>
            </w:r>
          </w:p>
        </w:tc>
        <w:tc>
          <w:tcPr>
            <w:tcW w:type="dxa" w:w="132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独立审查／补充</w:t>
            </w:r>
          </w:p>
        </w:tc>
        <w:tc>
          <w:tcPr>
            <w:tcW w:type="dxa" w:w="2631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关闭同步后旧拉取响应能否写本地不明确</w:t>
            </w:r>
          </w:p>
        </w:tc>
        <w:tc>
          <w:tcPr>
            <w:tcW w:type="dxa" w:w="4340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SYN-001：旧响应不再应用远端内容；已发送确认只记录投递结果用于去重</w:t>
            </w:r>
          </w:p>
        </w:tc>
        <w:tc>
          <w:tcPr>
            <w:tcW w:type="dxa" w:w="817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已闭合</w:t>
            </w:r>
          </w:p>
        </w:tc>
      </w:tr>
      <w:tr>
        <w:tc>
          <w:tcPr>
            <w:tcW w:type="dxa" w:w="824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R-11</w:t>
            </w:r>
          </w:p>
        </w:tc>
        <w:tc>
          <w:tcPr>
            <w:tcW w:type="dxa" w:w="132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独立复核／主要补全</w:t>
            </w:r>
          </w:p>
        </w:tc>
        <w:tc>
          <w:tcPr>
            <w:tcW w:type="dxa" w:w="2631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queued 缺少条件失效的 waiting 路径，终态再传术语仍不一致</w:t>
            </w:r>
          </w:p>
        </w:tc>
        <w:tc>
          <w:tcPr>
            <w:tcW w:type="dxa" w:w="4340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8.1、UPL-006：补 queued→waiting/failed，统一新任务及尝试</w:t>
            </w:r>
          </w:p>
        </w:tc>
        <w:tc>
          <w:tcPr>
            <w:tcW w:type="dxa" w:w="817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已闭合</w:t>
            </w:r>
          </w:p>
        </w:tc>
      </w:tr>
      <w:tr>
        <w:tc>
          <w:tcPr>
            <w:tcW w:type="dxa" w:w="824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R-12</w:t>
            </w:r>
          </w:p>
        </w:tc>
        <w:tc>
          <w:tcPr>
            <w:tcW w:type="dxa" w:w="132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独立复核／补充</w:t>
            </w:r>
          </w:p>
        </w:tc>
        <w:tc>
          <w:tcPr>
            <w:tcW w:type="dxa" w:w="2631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小数裁剪与奇数空余像素居中缺少唯一预期</w:t>
            </w:r>
          </w:p>
        </w:tc>
        <w:tc>
          <w:tcPr>
            <w:tcW w:type="dxa" w:w="4340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IMG-006/007：确认整数区域，正式输入拒小数；居中偏移向下取整，多余像素留右/下</w:t>
            </w:r>
          </w:p>
        </w:tc>
        <w:tc>
          <w:tcPr>
            <w:tcW w:type="dxa" w:w="817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已闭合</w:t>
            </w:r>
          </w:p>
        </w:tc>
      </w:tr>
      <w:tr>
        <w:tc>
          <w:tcPr>
            <w:tcW w:type="dxa" w:w="824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R-13</w:t>
            </w:r>
          </w:p>
        </w:tc>
        <w:tc>
          <w:tcPr>
            <w:tcW w:type="dxa" w:w="132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主线程自检／补充</w:t>
            </w:r>
          </w:p>
        </w:tc>
        <w:tc>
          <w:tcPr>
            <w:tcW w:type="dxa" w:w="2631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处理参数、缓存容量和布局默认值缺少可重复边界</w:t>
            </w:r>
          </w:p>
        </w:tc>
        <w:tc>
          <w:tcPr>
            <w:tcW w:type="dxa" w:w="4340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4.2、IMG-003/007：明确缓存 MiB 范围、最长边及质量整数范围、比例取整、间距及画布几何；资源预算仍优先</w:t>
            </w:r>
          </w:p>
        </w:tc>
        <w:tc>
          <w:tcPr>
            <w:tcW w:type="dxa" w:w="817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已闭合</w:t>
            </w:r>
          </w:p>
        </w:tc>
      </w:tr>
      <w:tr>
        <w:tc>
          <w:tcPr>
            <w:tcW w:type="dxa" w:w="824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R-14</w:t>
            </w:r>
          </w:p>
        </w:tc>
        <w:tc>
          <w:tcPr>
            <w:tcW w:type="dxa" w:w="132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主线程自检／补充</w:t>
            </w:r>
          </w:p>
        </w:tc>
        <w:tc>
          <w:tcPr>
            <w:tcW w:type="dxa" w:w="2631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“可用上传记录”容易被理解为实时验证远端</w:t>
            </w:r>
          </w:p>
        </w:tc>
        <w:tc>
          <w:tcPr>
            <w:tcW w:type="dxa" w:w="4340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UPL-006：URL 格式合法且未明确过期/删除；不保证实时在线，暂时不可达不自动重传</w:t>
            </w:r>
          </w:p>
        </w:tc>
        <w:tc>
          <w:tcPr>
            <w:tcW w:type="dxa" w:w="817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已闭合</w:t>
            </w:r>
          </w:p>
        </w:tc>
      </w:tr>
      <w:tr>
        <w:tc>
          <w:tcPr>
            <w:tcW w:type="dxa" w:w="824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R-15</w:t>
            </w:r>
          </w:p>
        </w:tc>
        <w:tc>
          <w:tcPr>
            <w:tcW w:type="dxa" w:w="132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测试反查／数据保护补全</w:t>
            </w:r>
          </w:p>
        </w:tc>
        <w:tc>
          <w:tcPr>
            <w:tcW w:type="dxa" w:w="2631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取消意图终结后，实际本机读写可能尚未停止，不能立即清理依赖</w:t>
            </w:r>
          </w:p>
        </w:tc>
        <w:tc>
          <w:tcPr>
            <w:tcW w:type="dxa" w:w="4340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QUE-004：确认本机文件使用安全结束前继续保护，取消状态和批次计数不受保护延长影响</w:t>
            </w:r>
          </w:p>
        </w:tc>
        <w:tc>
          <w:tcPr>
            <w:tcW w:type="dxa" w:w="817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已闭合</w:t>
            </w:r>
          </w:p>
        </w:tc>
      </w:tr>
      <w:tr>
        <w:tc>
          <w:tcPr>
            <w:tcW w:type="dxa" w:w="824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R-16</w:t>
            </w:r>
          </w:p>
        </w:tc>
        <w:tc>
          <w:tcPr>
            <w:tcW w:type="dxa" w:w="132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测试反查／备份完整性补全</w:t>
            </w:r>
          </w:p>
        </w:tc>
        <w:tc>
          <w:tcPr>
            <w:tcW w:type="dxa" w:w="2631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必要副本已丢失时，完整备份不能静默跳过后显示全部原图已备份</w:t>
            </w:r>
          </w:p>
        </w:tc>
        <w:tc>
          <w:tcPr>
            <w:tcW w:type="dxa" w:w="4340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BAK-001：列明不可读项，停止完整成功反馈，提供修复、取消或明确改元数据模式；UT-073同步验证</w:t>
            </w:r>
          </w:p>
        </w:tc>
        <w:tc>
          <w:tcPr>
            <w:tcW w:type="dxa" w:w="817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已闭合</w:t>
            </w:r>
          </w:p>
        </w:tc>
      </w:tr>
      <w:tr>
        <w:tc>
          <w:tcPr>
            <w:tcW w:type="dxa" w:w="824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R-17</w:t>
            </w:r>
          </w:p>
        </w:tc>
        <w:tc>
          <w:tcPr>
            <w:tcW w:type="dxa" w:w="132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测试稿审查／表述与分期</w:t>
            </w:r>
          </w:p>
        </w:tc>
        <w:tc>
          <w:tcPr>
            <w:tcW w:type="dxa" w:w="2631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初稿有聚合状态拼写、同步用例范围引用及跨期关联容易混入首版的问题</w:t>
            </w:r>
          </w:p>
        </w:tc>
        <w:tc>
          <w:tcPr>
            <w:tcW w:type="dxa" w:w="4340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UT-065、IT-009修正术语/范围；V1用例只关联V1条款，V2白名单只关联SYN；明确重试相对时点和清除独立夹具；覆盖矩阵同步核对</w:t>
            </w:r>
          </w:p>
        </w:tc>
        <w:tc>
          <w:tcPr>
            <w:tcW w:type="dxa" w:w="817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已闭合</w:t>
            </w:r>
          </w:p>
        </w:tc>
      </w:tr>
      <w:tr>
        <w:tc>
          <w:tcPr>
            <w:tcW w:type="dxa" w:w="824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R-18</w:t>
            </w:r>
          </w:p>
        </w:tc>
        <w:tc>
          <w:tcPr>
            <w:tcW w:type="dxa" w:w="132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独立只读核对／身份澄清</w:t>
            </w:r>
          </w:p>
        </w:tc>
        <w:tc>
          <w:tcPr>
            <w:tcW w:type="dxa" w:w="2631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同名账号允许但展示区分及删除后身份不复用未明确</w:t>
            </w:r>
          </w:p>
        </w:tc>
        <w:tc>
          <w:tcPr>
            <w:tcW w:type="dxa" w:w="4340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ACC-002：服务、别名与非秘密身份标记；同名新账号不继承旧身份、任务或秘密；补 SRC-O 区分本轮新增优化</w:t>
            </w:r>
          </w:p>
        </w:tc>
        <w:tc>
          <w:tcPr>
            <w:tcW w:type="dxa" w:w="817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已闭合</w:t>
            </w:r>
          </w:p>
        </w:tc>
      </w:tr>
      <w:tr>
        <w:tc>
          <w:tcPr>
            <w:tcW w:type="dxa" w:w="824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R-19</w:t>
            </w:r>
          </w:p>
        </w:tc>
        <w:tc>
          <w:tcPr>
            <w:tcW w:type="dxa" w:w="132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独立只读核对／历史保留</w:t>
            </w:r>
          </w:p>
        </w:tc>
        <w:tc>
          <w:tcPr>
            <w:tcW w:type="dxa" w:w="2631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账号删除后的历史名称及链接仅写可保留</w:t>
            </w:r>
          </w:p>
        </w:tc>
        <w:tc>
          <w:tcPr>
            <w:tcW w:type="dxa" w:w="4340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ACC-005：必须保留去敏稳定身份、历史名称与普通 URL；只有另按 UPL-007 显式清理结果记录才移除</w:t>
            </w:r>
          </w:p>
        </w:tc>
        <w:tc>
          <w:tcPr>
            <w:tcW w:type="dxa" w:w="817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已闭合</w:t>
            </w:r>
          </w:p>
        </w:tc>
      </w:tr>
      <w:tr>
        <w:tc>
          <w:tcPr>
            <w:tcW w:type="dxa" w:w="824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R-20</w:t>
            </w:r>
          </w:p>
        </w:tc>
        <w:tc>
          <w:tcPr>
            <w:tcW w:type="dxa" w:w="132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独立只读核对／快照时点</w:t>
            </w:r>
          </w:p>
        </w:tc>
        <w:tc>
          <w:tcPr>
            <w:tcW w:type="dxa" w:w="2631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账号重命名后的发布项与结果显示未定义</w:t>
            </w:r>
          </w:p>
        </w:tc>
        <w:tc>
          <w:tcPr>
            <w:tcW w:type="dxa" w:w="4340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UPL-001/005：创建时冻结服务/别名去敏快照，结果沿用；派发仍读取当前凭据；UPL-005补 SRC-O</w:t>
            </w:r>
          </w:p>
        </w:tc>
        <w:tc>
          <w:tcPr>
            <w:tcW w:type="dxa" w:w="817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已闭合</w:t>
            </w:r>
          </w:p>
        </w:tc>
      </w:tr>
      <w:tr>
        <w:tc>
          <w:tcPr>
            <w:tcW w:type="dxa" w:w="824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R-21</w:t>
            </w:r>
          </w:p>
        </w:tc>
        <w:tc>
          <w:tcPr>
            <w:tcW w:type="dxa" w:w="132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独立只读核对／检索与复制</w:t>
            </w:r>
          </w:p>
        </w:tc>
        <w:tc>
          <w:tcPr>
            <w:tcW w:type="dxa" w:w="2631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成功结果集合的交集查询、已删除目标筛选及列表复制顺序未定义</w:t>
            </w:r>
          </w:p>
        </w:tc>
        <w:tc>
          <w:tcPr>
            <w:tcW w:type="dxa" w:w="4340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LNK-001/002：名称/普通 URL/历史目标关键词，身份与版本交集，无匹配为空；稳定顺序及明确确认当前可见结果范围</w:t>
            </w:r>
          </w:p>
        </w:tc>
        <w:tc>
          <w:tcPr>
            <w:tcW w:type="dxa" w:w="817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已闭合</w:t>
            </w:r>
          </w:p>
        </w:tc>
      </w:tr>
      <w:tr>
        <w:tc>
          <w:tcPr>
            <w:tcW w:type="dxa" w:w="824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R-22</w:t>
            </w:r>
          </w:p>
        </w:tc>
        <w:tc>
          <w:tcPr>
            <w:tcW w:type="dxa" w:w="132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测试反查／编号关联</w:t>
            </w:r>
          </w:p>
        </w:tc>
        <w:tc>
          <w:tcPr>
            <w:tcW w:type="dxa" w:w="2631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链接检索容易被误归到确定性排序条款</w:t>
            </w:r>
          </w:p>
        </w:tc>
        <w:tc>
          <w:tcPr>
            <w:tcW w:type="dxa" w:w="4340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LIB-005/UT-017是组合检索，LIB-006/UT-018是排序；扩充既有用例与双向矩阵，不增加正式需求编号</w:t>
            </w:r>
          </w:p>
        </w:tc>
        <w:tc>
          <w:tcPr>
            <w:tcW w:type="dxa" w:w="817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已闭合</w:t>
            </w:r>
          </w:p>
        </w:tc>
      </w:tr>
    </w:tbl>
    <w:p>
      <w:r>
        <w:rPr>
          <w:b w:val="0"/>
        </w:rPr>
        <w:t xml:space="preserve">2026-10-03 本轮先由 Sol（gpt-6.1-sol，high）只读核对需求与既有用例，区分已覆盖规则和上述最小澄清；主线程确定规则后按需求、检验报告、测试设计顺序同步两格式。版本 1.1 不增加页面布局、技术选型或新正式编号；全部测试仍是未执行设计。</w:t>
      </w:r>
    </w:p>
    <w:p>
      <w:r>
        <w:rPr>
          <w:b w:val="0"/>
        </w:rPr>
        <w:t>独立复核确认主要规则已闭合。R-12 的最后文字由主线程在测试设计开始前补入；其整数输入与偏移公式已经明确，不由用例创设。所有修订都在已确定产品范围内，没有加入团队能力、旧数据迁移、首版云端账户或新技术选择。</w:t>
      </w:r>
    </w:p>
    <w:p>
      <w:pPr>
        <w:pStyle w:val="Heading1"/>
      </w:pPr>
      <w:r>
        <w:rPr>
          <w:b w:val="0"/>
        </w:rPr>
        <w:t>4 范围与覆盖核验</w:t>
      </w:r>
    </w:p>
    <w:p>
      <w:pPr>
        <w:pStyle w:val="Heading2"/>
      </w:pPr>
      <w:r>
        <w:rPr>
          <w:b w:val="0"/>
        </w:rPr>
        <w:t>4.1 正式需求清单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115" w:type="dxa"/>
          <w:right w:w="115" w:type="dxa"/>
        </w:tblCellMar>
      </w:tblPr>
      <w:tblGrid>
        <w:gridCol w:w="1796"/>
        <w:gridCol w:w="4547"/>
        <w:gridCol w:w="1796"/>
        <w:gridCol w:w="1796"/>
      </w:tblGrid>
      <w:tr>
        <w:trPr>
          <w:tblHeader/>
        </w:trPr>
        <w:tc>
          <w:tcPr>
            <w:tcW w:type="dxa" w:w="1796"/>
            <w:vAlign w:val="center"/>
            <w:shd w:fill="E7EEF3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/>
                <w:sz w:val="21"/>
              </w:rPr>
              <w:t>模块</w:t>
            </w:r>
          </w:p>
        </w:tc>
        <w:tc>
          <w:tcPr>
            <w:tcW w:type="dxa" w:w="4547"/>
            <w:vAlign w:val="center"/>
            <w:shd w:fill="E7EEF3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/>
                <w:sz w:val="21"/>
              </w:rPr>
              <w:t>编号范围</w:t>
            </w:r>
          </w:p>
        </w:tc>
        <w:tc>
          <w:tcPr>
            <w:tcW w:type="dxa" w:w="1796"/>
            <w:vAlign w:val="center"/>
            <w:shd w:fill="E7EEF3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/>
                <w:sz w:val="21"/>
              </w:rPr>
              <w:t>数量</w:t>
            </w:r>
          </w:p>
        </w:tc>
        <w:tc>
          <w:tcPr>
            <w:tcW w:type="dxa" w:w="1796"/>
            <w:vAlign w:val="center"/>
            <w:shd w:fill="E7EEF3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/>
                <w:sz w:val="21"/>
              </w:rPr>
              <w:t>阶段</w:t>
            </w:r>
          </w:p>
        </w:tc>
      </w:tr>
      <w:tr>
        <w:tc>
          <w:tcPr>
            <w:tcW w:type="dxa" w:w="1796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导入</w:t>
            </w:r>
          </w:p>
        </w:tc>
        <w:tc>
          <w:tcPr>
            <w:tcW w:type="dxa" w:w="4547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IMP-001—IMP-008</w:t>
            </w:r>
          </w:p>
        </w:tc>
        <w:tc>
          <w:tcPr>
            <w:tcW w:type="dxa" w:w="1796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8</w:t>
            </w:r>
          </w:p>
        </w:tc>
        <w:tc>
          <w:tcPr>
            <w:tcW w:type="dxa" w:w="1796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V1</w:t>
            </w:r>
          </w:p>
        </w:tc>
      </w:tr>
      <w:tr>
        <w:tc>
          <w:tcPr>
            <w:tcW w:type="dxa" w:w="1796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图库</w:t>
            </w:r>
          </w:p>
        </w:tc>
        <w:tc>
          <w:tcPr>
            <w:tcW w:type="dxa" w:w="4547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LIB-001—LIB-008</w:t>
            </w:r>
          </w:p>
        </w:tc>
        <w:tc>
          <w:tcPr>
            <w:tcW w:type="dxa" w:w="1796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8</w:t>
            </w:r>
          </w:p>
        </w:tc>
        <w:tc>
          <w:tcPr>
            <w:tcW w:type="dxa" w:w="1796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V1</w:t>
            </w:r>
          </w:p>
        </w:tc>
      </w:tr>
      <w:tr>
        <w:tc>
          <w:tcPr>
            <w:tcW w:type="dxa" w:w="1796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处理</w:t>
            </w:r>
          </w:p>
        </w:tc>
        <w:tc>
          <w:tcPr>
            <w:tcW w:type="dxa" w:w="4547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IMG-001—IMG-009</w:t>
            </w:r>
          </w:p>
        </w:tc>
        <w:tc>
          <w:tcPr>
            <w:tcW w:type="dxa" w:w="1796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9</w:t>
            </w:r>
          </w:p>
        </w:tc>
        <w:tc>
          <w:tcPr>
            <w:tcW w:type="dxa" w:w="1796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V1</w:t>
            </w:r>
          </w:p>
        </w:tc>
      </w:tr>
      <w:tr>
        <w:tc>
          <w:tcPr>
            <w:tcW w:type="dxa" w:w="1796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输出</w:t>
            </w:r>
          </w:p>
        </w:tc>
        <w:tc>
          <w:tcPr>
            <w:tcW w:type="dxa" w:w="4547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OUT-001—OUT-005</w:t>
            </w:r>
          </w:p>
        </w:tc>
        <w:tc>
          <w:tcPr>
            <w:tcW w:type="dxa" w:w="1796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796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V1</w:t>
            </w:r>
          </w:p>
        </w:tc>
      </w:tr>
      <w:tr>
        <w:tc>
          <w:tcPr>
            <w:tcW w:type="dxa" w:w="1796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图床账号</w:t>
            </w:r>
          </w:p>
        </w:tc>
        <w:tc>
          <w:tcPr>
            <w:tcW w:type="dxa" w:w="4547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ACC-001—ACC-006</w:t>
            </w:r>
          </w:p>
        </w:tc>
        <w:tc>
          <w:tcPr>
            <w:tcW w:type="dxa" w:w="1796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1796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V1</w:t>
            </w:r>
          </w:p>
        </w:tc>
      </w:tr>
      <w:tr>
        <w:tc>
          <w:tcPr>
            <w:tcW w:type="dxa" w:w="1796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上传</w:t>
            </w:r>
          </w:p>
        </w:tc>
        <w:tc>
          <w:tcPr>
            <w:tcW w:type="dxa" w:w="4547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UPL-001—UPL-007</w:t>
            </w:r>
          </w:p>
        </w:tc>
        <w:tc>
          <w:tcPr>
            <w:tcW w:type="dxa" w:w="1796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7</w:t>
            </w:r>
          </w:p>
        </w:tc>
        <w:tc>
          <w:tcPr>
            <w:tcW w:type="dxa" w:w="1796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V1</w:t>
            </w:r>
          </w:p>
        </w:tc>
      </w:tr>
      <w:tr>
        <w:tc>
          <w:tcPr>
            <w:tcW w:type="dxa" w:w="1796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队列</w:t>
            </w:r>
          </w:p>
        </w:tc>
        <w:tc>
          <w:tcPr>
            <w:tcW w:type="dxa" w:w="4547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QUE-001—QUE-010</w:t>
            </w:r>
          </w:p>
        </w:tc>
        <w:tc>
          <w:tcPr>
            <w:tcW w:type="dxa" w:w="1796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1796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V1</w:t>
            </w:r>
          </w:p>
        </w:tc>
      </w:tr>
      <w:tr>
        <w:tc>
          <w:tcPr>
            <w:tcW w:type="dxa" w:w="1796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链接</w:t>
            </w:r>
          </w:p>
        </w:tc>
        <w:tc>
          <w:tcPr>
            <w:tcW w:type="dxa" w:w="4547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LNK-001—LNK-004</w:t>
            </w:r>
          </w:p>
        </w:tc>
        <w:tc>
          <w:tcPr>
            <w:tcW w:type="dxa" w:w="1796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1796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V1</w:t>
            </w:r>
          </w:p>
        </w:tc>
      </w:tr>
      <w:tr>
        <w:tc>
          <w:tcPr>
            <w:tcW w:type="dxa" w:w="1796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备份恢复</w:t>
            </w:r>
          </w:p>
        </w:tc>
        <w:tc>
          <w:tcPr>
            <w:tcW w:type="dxa" w:w="4547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BAK-001—BAK-006</w:t>
            </w:r>
          </w:p>
        </w:tc>
        <w:tc>
          <w:tcPr>
            <w:tcW w:type="dxa" w:w="1796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1796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V1</w:t>
            </w:r>
          </w:p>
        </w:tc>
      </w:tr>
      <w:tr>
        <w:tc>
          <w:tcPr>
            <w:tcW w:type="dxa" w:w="1796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运维设置</w:t>
            </w:r>
          </w:p>
        </w:tc>
        <w:tc>
          <w:tcPr>
            <w:tcW w:type="dxa" w:w="4547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OPS-001—OPS-005</w:t>
            </w:r>
          </w:p>
        </w:tc>
        <w:tc>
          <w:tcPr>
            <w:tcW w:type="dxa" w:w="1796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796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V1</w:t>
            </w:r>
          </w:p>
        </w:tc>
      </w:tr>
      <w:tr>
        <w:tc>
          <w:tcPr>
            <w:tcW w:type="dxa" w:w="1796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数据</w:t>
            </w:r>
          </w:p>
        </w:tc>
        <w:tc>
          <w:tcPr>
            <w:tcW w:type="dxa" w:w="4547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DAT-001—DAT-005</w:t>
            </w:r>
          </w:p>
        </w:tc>
        <w:tc>
          <w:tcPr>
            <w:tcW w:type="dxa" w:w="1796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796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V1</w:t>
            </w:r>
          </w:p>
        </w:tc>
      </w:tr>
      <w:tr>
        <w:tc>
          <w:tcPr>
            <w:tcW w:type="dxa" w:w="1796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安全</w:t>
            </w:r>
          </w:p>
        </w:tc>
        <w:tc>
          <w:tcPr>
            <w:tcW w:type="dxa" w:w="4547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SEC-001—SEC-006</w:t>
            </w:r>
          </w:p>
        </w:tc>
        <w:tc>
          <w:tcPr>
            <w:tcW w:type="dxa" w:w="1796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1796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V1</w:t>
            </w:r>
          </w:p>
        </w:tc>
      </w:tr>
      <w:tr>
        <w:tc>
          <w:tcPr>
            <w:tcW w:type="dxa" w:w="1796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平台</w:t>
            </w:r>
          </w:p>
        </w:tc>
        <w:tc>
          <w:tcPr>
            <w:tcW w:type="dxa" w:w="4547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PLT-001—PLT-006</w:t>
            </w:r>
          </w:p>
        </w:tc>
        <w:tc>
          <w:tcPr>
            <w:tcW w:type="dxa" w:w="1796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1796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V1</w:t>
            </w:r>
          </w:p>
        </w:tc>
      </w:tr>
      <w:tr>
        <w:tc>
          <w:tcPr>
            <w:tcW w:type="dxa" w:w="1796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非功能</w:t>
            </w:r>
          </w:p>
        </w:tc>
        <w:tc>
          <w:tcPr>
            <w:tcW w:type="dxa" w:w="4547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NFR-001—NFR-005</w:t>
            </w:r>
          </w:p>
        </w:tc>
        <w:tc>
          <w:tcPr>
            <w:tcW w:type="dxa" w:w="1796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796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V1</w:t>
            </w:r>
          </w:p>
        </w:tc>
      </w:tr>
      <w:tr>
        <w:tc>
          <w:tcPr>
            <w:tcW w:type="dxa" w:w="1796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可选云同步</w:t>
            </w:r>
          </w:p>
        </w:tc>
        <w:tc>
          <w:tcPr>
            <w:tcW w:type="dxa" w:w="4547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SYN-001—SYN-008</w:t>
            </w:r>
          </w:p>
        </w:tc>
        <w:tc>
          <w:tcPr>
            <w:tcW w:type="dxa" w:w="1796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8</w:t>
            </w:r>
          </w:p>
        </w:tc>
        <w:tc>
          <w:tcPr>
            <w:tcW w:type="dxa" w:w="1796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V2</w:t>
            </w:r>
          </w:p>
        </w:tc>
      </w:tr>
      <w:tr>
        <w:tc>
          <w:tcPr>
            <w:tcW w:type="dxa" w:w="1796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扩展边界</w:t>
            </w:r>
          </w:p>
        </w:tc>
        <w:tc>
          <w:tcPr>
            <w:tcW w:type="dxa" w:w="4547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EXT-001—EXT-003</w:t>
            </w:r>
          </w:p>
        </w:tc>
        <w:tc>
          <w:tcPr>
            <w:tcW w:type="dxa" w:w="1796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1796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V3</w:t>
            </w:r>
          </w:p>
        </w:tc>
      </w:tr>
      <w:tr>
        <w:tc>
          <w:tcPr>
            <w:tcW w:type="dxa" w:w="1796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合计</w:t>
            </w:r>
          </w:p>
        </w:tc>
        <w:tc>
          <w:tcPr>
            <w:tcW w:type="dxa" w:w="4547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101 个唯一正式编号</w:t>
            </w:r>
          </w:p>
        </w:tc>
        <w:tc>
          <w:tcPr>
            <w:tcW w:type="dxa" w:w="1796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101</w:t>
            </w:r>
          </w:p>
        </w:tc>
        <w:tc>
          <w:tcPr>
            <w:tcW w:type="dxa" w:w="1796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V1 90，V2 8，V3 3</w:t>
            </w:r>
          </w:p>
        </w:tc>
      </w:tr>
    </w:tbl>
    <w:p>
      <w:pPr>
        <w:pStyle w:val="Heading2"/>
      </w:pPr>
      <w:r>
        <w:rPr>
          <w:b w:val="0"/>
        </w:rPr>
        <w:t>4.2 已确定产品边界核验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115" w:type="dxa"/>
          <w:right w:w="115" w:type="dxa"/>
        </w:tblCellMar>
      </w:tblPr>
      <w:tblGrid>
        <w:gridCol w:w="3366"/>
        <w:gridCol w:w="4048"/>
        <w:gridCol w:w="2523"/>
      </w:tblGrid>
      <w:tr>
        <w:trPr>
          <w:tblHeader/>
        </w:trPr>
        <w:tc>
          <w:tcPr>
            <w:tcW w:type="dxa" w:w="3366"/>
            <w:vAlign w:val="center"/>
            <w:shd w:fill="E7EEF3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/>
                <w:sz w:val="21"/>
              </w:rPr>
              <w:t>已确定边界</w:t>
            </w:r>
          </w:p>
        </w:tc>
        <w:tc>
          <w:tcPr>
            <w:tcW w:type="dxa" w:w="4048"/>
            <w:vAlign w:val="center"/>
            <w:shd w:fill="E7EEF3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/>
                <w:sz w:val="21"/>
              </w:rPr>
              <w:t>文档证据</w:t>
            </w:r>
          </w:p>
        </w:tc>
        <w:tc>
          <w:tcPr>
            <w:tcW w:type="dxa" w:w="2523"/>
            <w:vAlign w:val="center"/>
            <w:shd w:fill="E7EEF3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/>
                <w:sz w:val="21"/>
              </w:rPr>
              <w:t>结论</w:t>
            </w:r>
          </w:p>
        </w:tc>
      </w:tr>
      <w:tr>
        <w:tc>
          <w:tcPr>
            <w:tcW w:type="dxa" w:w="3366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个人使用，未来也不引入团队</w:t>
            </w:r>
          </w:p>
        </w:tc>
        <w:tc>
          <w:tcPr>
            <w:tcW w:type="dxa" w:w="4048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范围 2.2、用户角色第 3 章</w:t>
            </w:r>
          </w:p>
        </w:tc>
        <w:tc>
          <w:tcPr>
            <w:tcW w:type="dxa" w:w="252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一致</w:t>
            </w:r>
          </w:p>
        </w:tc>
      </w:tr>
      <w:tr>
        <w:tc>
          <w:tcPr>
            <w:tcW w:type="dxa" w:w="3366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四端首版核心闭环</w:t>
            </w:r>
          </w:p>
        </w:tc>
        <w:tc>
          <w:tcPr>
            <w:tcW w:type="dxa" w:w="4048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PLT-001、PLT-006、14.5</w:t>
            </w:r>
          </w:p>
        </w:tc>
        <w:tc>
          <w:tcPr>
            <w:tcW w:type="dxa" w:w="252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一致，最低版本留后续技术设计</w:t>
            </w:r>
          </w:p>
        </w:tc>
      </w:tr>
      <w:tr>
        <w:tc>
          <w:tcPr>
            <w:tcW w:type="dxa" w:w="3366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本地独立，无应用云账号前置</w:t>
            </w:r>
          </w:p>
        </w:tc>
        <w:tc>
          <w:tcPr>
            <w:tcW w:type="dxa" w:w="4048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G-01、SEC-005、首版范围</w:t>
            </w:r>
          </w:p>
        </w:tc>
        <w:tc>
          <w:tcPr>
            <w:tcW w:type="dxa" w:w="252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一致</w:t>
            </w:r>
          </w:p>
        </w:tc>
      </w:tr>
      <w:tr>
        <w:tc>
          <w:tcPr>
            <w:tcW w:type="dxa" w:w="3366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永久副本，保留外部原图</w:t>
            </w:r>
          </w:p>
        </w:tc>
        <w:tc>
          <w:tcPr>
            <w:tcW w:type="dxa" w:w="4048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IMP-003、OUT-002、4.3</w:t>
            </w:r>
          </w:p>
        </w:tc>
        <w:tc>
          <w:tcPr>
            <w:tcW w:type="dxa" w:w="252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一致</w:t>
            </w:r>
          </w:p>
        </w:tc>
      </w:tr>
      <w:tr>
        <w:tc>
          <w:tcPr>
            <w:tcW w:type="dxa" w:w="3366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可靠队列、处理导出、备份恢复</w:t>
            </w:r>
          </w:p>
        </w:tc>
        <w:tc>
          <w:tcPr>
            <w:tcW w:type="dxa" w:w="4048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QUE、OUT、BAK 全部条款</w:t>
            </w:r>
          </w:p>
        </w:tc>
        <w:tc>
          <w:tcPr>
            <w:tcW w:type="dxa" w:w="252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纳入 V1，而非仅规划</w:t>
            </w:r>
          </w:p>
        </w:tc>
      </w:tr>
      <w:tr>
        <w:tc>
          <w:tcPr>
            <w:tcW w:type="dxa" w:w="3366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复杂相册、自动化后续</w:t>
            </w:r>
          </w:p>
        </w:tc>
        <w:tc>
          <w:tcPr>
            <w:tcW w:type="dxa" w:w="4048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EXT-001/002</w:t>
            </w:r>
          </w:p>
        </w:tc>
        <w:tc>
          <w:tcPr>
            <w:tcW w:type="dxa" w:w="252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不混入首版</w:t>
            </w:r>
          </w:p>
        </w:tc>
      </w:tr>
      <w:tr>
        <w:tc>
          <w:tcPr>
            <w:tcW w:type="dxa" w:w="3366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同步可选，只同步整理与普通链接</w:t>
            </w:r>
          </w:p>
        </w:tc>
        <w:tc>
          <w:tcPr>
            <w:tcW w:type="dxa" w:w="4048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SYN-001/002、2.3</w:t>
            </w:r>
          </w:p>
        </w:tc>
        <w:tc>
          <w:tcPr>
            <w:tcW w:type="dxa" w:w="252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不同步原图、凭据、设备路径和活动任务</w:t>
            </w:r>
          </w:p>
        </w:tc>
      </w:tr>
      <w:tr>
        <w:tc>
          <w:tcPr>
            <w:tcW w:type="dxa" w:w="3366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启停同步不删除本地内容</w:t>
            </w:r>
          </w:p>
        </w:tc>
        <w:tc>
          <w:tcPr>
            <w:tcW w:type="dxa" w:w="4048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SYN-001/006/007</w:t>
            </w:r>
          </w:p>
        </w:tc>
        <w:tc>
          <w:tcPr>
            <w:tcW w:type="dxa" w:w="252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保持本地连续可用</w:t>
            </w:r>
          </w:p>
        </w:tc>
      </w:tr>
      <w:tr>
        <w:tc>
          <w:tcPr>
            <w:tcW w:type="dxa" w:w="3366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从新数据开始，不兼容旧格式</w:t>
            </w:r>
          </w:p>
        </w:tc>
        <w:tc>
          <w:tcPr>
            <w:tcW w:type="dxa" w:w="4048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DAT-005、范围 2.2</w:t>
            </w:r>
          </w:p>
        </w:tc>
        <w:tc>
          <w:tcPr>
            <w:tcW w:type="dxa" w:w="2523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一致</w:t>
            </w:r>
          </w:p>
        </w:tc>
      </w:tr>
      <w:tr>
        <w:tc>
          <w:tcPr>
            <w:tcW w:type="dxa" w:w="3366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不继承旧界面或技术栈</w:t>
            </w:r>
          </w:p>
        </w:tc>
        <w:tc>
          <w:tcPr>
            <w:tcW w:type="dxa" w:w="4048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第 1 章、13.2、来源附录</w:t>
            </w:r>
          </w:p>
        </w:tc>
        <w:tc>
          <w:tcPr>
            <w:tcW w:type="dxa" w:w="2523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只保留业务目标与真实能力证据</w:t>
            </w:r>
          </w:p>
        </w:tc>
      </w:tr>
    </w:tbl>
    <w:p>
      <w:pPr>
        <w:pStyle w:val="Heading2"/>
      </w:pPr>
      <w:r>
        <w:rPr>
          <w:b w:val="0"/>
        </w:rPr>
        <w:t>4.3 原项目能力覆盖</w:t>
      </w:r>
    </w:p>
    <w:p>
      <w:r>
        <w:rPr>
          <w:b w:val="0"/>
        </w:rPr>
        <w:t>旧源码已经具有的多选导入、图片元信息、预览、分类、标签、收藏、组合筛选、排序、压缩、裁剪、拼接、输出选择、两个图床上传、URL/Markdown 复制、基础并发、设置、可见日志及保存，均在需求附录 14.2 映射到正式条款。</w:t>
      </w:r>
    </w:p>
    <w:p>
      <w:r>
        <w:rPr>
          <w:b w:val="0"/>
        </w:rPr>
        <w:t>重复导入覆盖整理信息、半成品记录、处理失败阻断无关上传、永久保存仍引用临时路径、加载失败后空值保存等旧风险没有被当作新规则。新版分别以 IMP-004、DAT-002、UPL-002/003、OUT-002/004、DAT-001 提出正向数据保护要求。历史文档中的多账号、取消/暂停/重试/恢复、批量复制、更多链接格式及文件修复，被明确标为历史目标或新增完善，不伪称旧项目已实现。</w:t>
      </w:r>
    </w:p>
    <w:p>
      <w:pPr>
        <w:pStyle w:val="Heading1"/>
      </w:pPr>
      <w:r>
        <w:rPr>
          <w:b w:val="0"/>
        </w:rPr>
        <w:t>5 外部约束与剩余实施事项</w:t>
      </w:r>
    </w:p>
    <w:p>
      <w:r>
        <w:rPr>
          <w:b w:val="0"/>
        </w:rPr>
        <w:t>第三方及平台资料集中列在需求附录 14.4，均带官方链接与 2026-10-03 核查日期。Catbox 的匿名保留政策与账号规则分别说明；ImgBB 的当前上传上限和删除管理 URL 不推导为完整远程管理能力。Apple、Android 的权限、云照片取得及后台限制不转化为“后台永远继续”或“所有平台都可断点续传”的承诺。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115" w:type="dxa"/>
          <w:right w:w="115" w:type="dxa"/>
        </w:tblCellMar>
      </w:tblPr>
      <w:tblGrid>
        <w:gridCol w:w="2650"/>
        <w:gridCol w:w="4338"/>
        <w:gridCol w:w="2948"/>
      </w:tblGrid>
      <w:tr>
        <w:trPr>
          <w:tblHeader/>
        </w:trPr>
        <w:tc>
          <w:tcPr>
            <w:tcW w:type="dxa" w:w="2650"/>
            <w:vAlign w:val="center"/>
            <w:shd w:fill="E7EEF3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/>
                <w:sz w:val="21"/>
              </w:rPr>
              <w:t>事项</w:t>
            </w:r>
          </w:p>
        </w:tc>
        <w:tc>
          <w:tcPr>
            <w:tcW w:type="dxa" w:w="4338"/>
            <w:vAlign w:val="center"/>
            <w:shd w:fill="E7EEF3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/>
                <w:sz w:val="21"/>
              </w:rPr>
              <w:t>当前处理</w:t>
            </w:r>
          </w:p>
        </w:tc>
        <w:tc>
          <w:tcPr>
            <w:tcW w:type="dxa" w:w="2948"/>
            <w:vAlign w:val="center"/>
            <w:shd w:fill="E7EEF3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/>
                <w:sz w:val="21"/>
              </w:rPr>
              <w:t>后续责任</w:t>
            </w:r>
          </w:p>
        </w:tc>
      </w:tr>
      <w:tr>
        <w:tc>
          <w:tcPr>
            <w:tcW w:type="dxa" w:w="2650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最低 OS 版本与分发方式</w:t>
            </w:r>
          </w:p>
        </w:tc>
        <w:tc>
          <w:tcPr>
            <w:tcW w:type="dxa" w:w="4338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不在本次选择；首版必须给出四端支持声明</w:t>
            </w:r>
          </w:p>
        </w:tc>
        <w:tc>
          <w:tcPr>
            <w:tcW w:type="dxa" w:w="2948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技术设计及发布验证</w:t>
            </w:r>
          </w:p>
        </w:tc>
      </w:tr>
      <w:tr>
        <w:tc>
          <w:tcPr>
            <w:tcW w:type="dxa" w:w="2650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实际编解码与预算</w:t>
            </w:r>
          </w:p>
        </w:tc>
        <w:tc>
          <w:tcPr>
            <w:tcW w:type="dxa" w:w="4338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业务矩阵、方向、特征变化及超预算行为已定义</w:t>
            </w:r>
          </w:p>
        </w:tc>
        <w:tc>
          <w:tcPr>
            <w:tcW w:type="dxa" w:w="2948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编解码集成与四端内存测试</w:t>
            </w:r>
          </w:p>
        </w:tc>
      </w:tr>
      <w:tr>
        <w:tc>
          <w:tcPr>
            <w:tcW w:type="dxa" w:w="2650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图床政策及限制变化</w:t>
            </w:r>
          </w:p>
        </w:tc>
        <w:tc>
          <w:tcPr>
            <w:tcW w:type="dxa" w:w="4338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记录本次来源，不承诺永久不变</w:t>
            </w:r>
          </w:p>
        </w:tc>
        <w:tc>
          <w:tcPr>
            <w:tcW w:type="dxa" w:w="2948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开发联调和发布前重新核查</w:t>
            </w:r>
          </w:p>
        </w:tc>
      </w:tr>
      <w:tr>
        <w:tc>
          <w:tcPr>
            <w:tcW w:type="dxa" w:w="2650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HTTP 链接与安全上传</w:t>
            </w:r>
          </w:p>
        </w:tc>
        <w:tc>
          <w:tcPr>
            <w:tcW w:type="dxa" w:w="4338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普通 HTTP 链接明示；上传不得默认放弃安全验证</w:t>
            </w:r>
          </w:p>
        </w:tc>
        <w:tc>
          <w:tcPr>
            <w:tcW w:type="dxa" w:w="2948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传输契约及设备验证</w:t>
            </w:r>
          </w:p>
        </w:tc>
      </w:tr>
      <w:tr>
        <w:tc>
          <w:tcPr>
            <w:tcW w:type="dxa" w:w="2650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云服务身份与部署</w:t>
            </w:r>
          </w:p>
        </w:tc>
        <w:tc>
          <w:tcPr>
            <w:tcW w:type="dxa" w:w="4338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V2 后续设计，业务白名单与冲突规则已给出</w:t>
            </w:r>
          </w:p>
        </w:tc>
        <w:tc>
          <w:tcPr>
            <w:tcW w:type="dxa" w:w="2948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云同步专项设计与验收</w:t>
            </w:r>
          </w:p>
        </w:tc>
      </w:tr>
      <w:tr>
        <w:tc>
          <w:tcPr>
            <w:tcW w:type="dxa" w:w="2650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正式软件证据</w:t>
            </w:r>
          </w:p>
        </w:tc>
        <w:tc>
          <w:tcPr>
            <w:tcW w:type="dxa" w:w="4338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本次只有文档与设计，不具有运行结果</w:t>
            </w:r>
          </w:p>
        </w:tc>
        <w:tc>
          <w:tcPr>
            <w:tcW w:type="dxa" w:w="2948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新项目实现后逐层执行验证</w:t>
            </w:r>
          </w:p>
        </w:tc>
      </w:tr>
    </w:tbl>
    <w:p>
      <w:r>
        <w:rPr>
          <w:b w:val="0"/>
        </w:rPr>
        <w:t>这些事项没有授权实现者自行改变正式业务行为。方案若不能满足需求，应形成受控变更并更新测试映射。仍需选基准设备的性能数字明确为建议验收目标，不能作为旧项目测量结论。</w:t>
      </w:r>
    </w:p>
    <w:p>
      <w:pPr>
        <w:pStyle w:val="Heading1"/>
      </w:pPr>
      <w:r>
        <w:rPr>
          <w:b w:val="0"/>
        </w:rPr>
        <w:t>6 最终文档核验与验收界限</w:t>
      </w:r>
    </w:p>
    <w:p>
      <w:r>
        <w:rPr>
          <w:b w:val="0"/>
        </w:rPr>
        <w:t>Markdown 是统一内容源。最终核验检查正式需求编号及属性、来源引用、测试编号、逐需求覆盖、未来分期、Word 段落/表格顺序、正文、超链接、标题层级和表格结构。对任务、去重、恢复、删除及同步用例，主线程反查预期与需求一致性。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115" w:type="dxa"/>
          <w:right w:w="115" w:type="dxa"/>
        </w:tblCellMar>
      </w:tblPr>
      <w:tblGrid>
        <w:gridCol w:w="2320"/>
        <w:gridCol w:w="7616"/>
      </w:tblGrid>
      <w:tr>
        <w:trPr>
          <w:tblHeader/>
        </w:trPr>
        <w:tc>
          <w:tcPr>
            <w:tcW w:type="dxa" w:w="2320"/>
            <w:vAlign w:val="center"/>
            <w:shd w:fill="E7EEF3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/>
                <w:sz w:val="21"/>
              </w:rPr>
              <w:t>验收项</w:t>
            </w:r>
          </w:p>
        </w:tc>
        <w:tc>
          <w:tcPr>
            <w:tcW w:type="dxa" w:w="7616"/>
            <w:vAlign w:val="center"/>
            <w:shd w:fill="E7EEF3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/>
                <w:sz w:val="21"/>
              </w:rPr>
              <w:t>合格条件</w:t>
            </w:r>
          </w:p>
        </w:tc>
      </w:tr>
      <w:tr>
        <w:tc>
          <w:tcPr>
            <w:tcW w:type="dxa" w:w="2320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交付数量</w:t>
            </w:r>
          </w:p>
        </w:tc>
        <w:tc>
          <w:tcPr>
            <w:tcW w:type="dxa" w:w="7616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三个主题各有 .md 与 .docx，共六个文件</w:t>
            </w:r>
          </w:p>
        </w:tc>
      </w:tr>
      <w:tr>
        <w:tc>
          <w:tcPr>
            <w:tcW w:type="dxa" w:w="2320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需求完整性</w:t>
            </w:r>
          </w:p>
        </w:tc>
        <w:tc>
          <w:tcPr>
            <w:tcW w:type="dxa" w:w="7616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101 条唯一需求均有来源、优先级、阶段、行为及验收</w:t>
            </w:r>
          </w:p>
        </w:tc>
      </w:tr>
      <w:tr>
        <w:tc>
          <w:tcPr>
            <w:tcW w:type="dxa" w:w="2320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首版验证映射</w:t>
            </w:r>
          </w:p>
        </w:tc>
        <w:tc>
          <w:tcPr>
            <w:tcW w:type="dxa" w:w="7616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90 条 V1 均映射到业务单元测试或明确的其他验证方案；不适合 UT 说明原因</w:t>
            </w:r>
          </w:p>
        </w:tc>
      </w:tr>
      <w:tr>
        <w:tc>
          <w:tcPr>
            <w:tcW w:type="dxa" w:w="2320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后续隔离</w:t>
            </w:r>
          </w:p>
        </w:tc>
        <w:tc>
          <w:tcPr>
            <w:tcW w:type="dxa" w:w="7616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8 条 SYN 与 3 条 EXT 单列，不充当首版已通过证据</w:t>
            </w:r>
          </w:p>
        </w:tc>
      </w:tr>
      <w:tr>
        <w:tc>
          <w:tcPr>
            <w:tcW w:type="dxa" w:w="2320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双向追踪</w:t>
            </w:r>
          </w:p>
        </w:tc>
        <w:tc>
          <w:tcPr>
            <w:tcW w:type="dxa" w:w="7616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用例引用真实需求，矩阵引用真实验证方案，无悬空编号</w:t>
            </w:r>
          </w:p>
        </w:tc>
      </w:tr>
      <w:tr>
        <w:tc>
          <w:tcPr>
            <w:tcW w:type="dxa" w:w="2320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格式一致</w:t>
            </w:r>
          </w:p>
        </w:tc>
        <w:tc>
          <w:tcPr>
            <w:tcW w:type="dxa" w:w="7616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三份 Word 的正文、表格、编号及来源超链接对应同名 Markdown</w:t>
            </w:r>
          </w:p>
        </w:tc>
      </w:tr>
      <w:tr>
        <w:tc>
          <w:tcPr>
            <w:tcW w:type="dxa" w:w="2320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保护旧文件</w:t>
            </w:r>
          </w:p>
        </w:tc>
        <w:tc>
          <w:tcPr>
            <w:tcW w:type="dxa" w:w="7616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仅增加独立文档包，原有来源文件保持不变</w:t>
            </w:r>
          </w:p>
        </w:tc>
      </w:tr>
      <w:tr>
        <w:tc>
          <w:tcPr>
            <w:tcW w:type="dxa" w:w="2320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>诚实说明</w:t>
            </w:r>
          </w:p>
        </w:tc>
        <w:tc>
          <w:tcPr>
            <w:tcW w:type="dxa" w:w="7616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>无测试执行结果、标准认证或未完成视觉验证的夸大声明</w:t>
            </w:r>
          </w:p>
        </w:tc>
      </w:tr>
    </w:tbl>
    <w:p>
      <w:r>
        <w:rPr>
          <w:b w:val="0"/>
        </w:rPr>
        <w:t>按用户已选验收方式，Word 完成内容与结构核验，</w:t>
      </w:r>
      <w:r>
        <w:rPr>
          <w:b/>
        </w:rPr>
        <w:t>未进行逐页视觉验收</w:t>
      </w:r>
      <w:r>
        <w:rPr>
          <w:b w:val="0"/>
        </w:rPr>
        <w:t>。最终呈现的分页、跨页表格及特定 Word 软件字体替换未作实机视觉确认。此限制不影响 Markdown 内容源的业务基线，但不能据此宣称打印版逐页排版已验收。</w:t>
      </w:r>
    </w:p>
    <w:p>
      <w:r>
        <w:rPr>
          <w:b w:val="0"/>
        </w:rPr>
        <w:t xml:space="preserve">版本 1.0 的任务开始和交付检查曾对 38 个现有来源文件进行内容摘要对比，包括源码、旧文档、项目技能与主要清单配置；当时检查结果一致。该结果是既有来源基线证据，不是本轮 UI 修改的内容摘要证明。版本 1.1 仅修订上述六份文档并新增本次 verification 检查脚本与记录；不修改来源文件，不清理既有未跟踪文件。</w:t>
      </w:r>
    </w:p>
    <w:p>
      <w:r>
        <w:rPr>
          <w:b w:val="0"/>
        </w:rPr>
        <w:t>最终文档核验结果如下，属于文档证据，不是软件运行结果：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115" w:type="dxa"/>
          <w:right w:w="115" w:type="dxa"/>
        </w:tblCellMar>
      </w:tblPr>
      <w:tblGrid>
        <w:gridCol w:w="2109"/>
        <w:gridCol w:w="7827"/>
      </w:tblGrid>
      <w:tr>
        <w:trPr>
          <w:tblHeader/>
        </w:trPr>
        <w:tc>
          <w:tcPr>
            <w:tcW w:type="dxa" w:w="2109"/>
            <w:vAlign w:val="center"/>
            <w:shd w:fill="E7EEF3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/>
                <w:sz w:val="21"/>
              </w:rPr>
              <w:t xml:space="preserve">检查</w:t>
            </w:r>
          </w:p>
        </w:tc>
        <w:tc>
          <w:tcPr>
            <w:tcW w:type="dxa" w:w="7827"/>
            <w:vAlign w:val="center"/>
            <w:shd w:fill="E7EEF3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/>
                <w:sz w:val="21"/>
              </w:rPr>
              <w:t xml:space="preserve">实际结果</w:t>
            </w:r>
          </w:p>
        </w:tc>
      </w:tr>
      <w:tr>
        <w:tc>
          <w:tcPr>
            <w:tcW w:type="dxa" w:w="2109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正式需求</w:t>
            </w:r>
          </w:p>
        </w:tc>
        <w:tc>
          <w:tcPr>
            <w:tcW w:type="dxa" w:w="7827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101 条，编号唯一，属性和验收齐全；P0 51、P1 39、P2 11</w:t>
            </w:r>
          </w:p>
        </w:tc>
      </w:tr>
      <w:tr>
        <w:tc>
          <w:tcPr>
            <w:tcW w:type="dxa" w:w="2109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分期</w:t>
            </w:r>
          </w:p>
        </w:tc>
        <w:tc>
          <w:tcPr>
            <w:tcW w:type="dxa" w:w="7827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V1 90、V2 8、V3 3；首版没有云同步或扩展功能通过记录</w:t>
            </w:r>
          </w:p>
        </w:tc>
      </w:tr>
      <w:tr>
        <w:tc>
          <w:tcPr>
            <w:tcW w:type="dxa" w:w="2109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测试设计</w:t>
            </w:r>
          </w:p>
        </w:tc>
        <w:tc>
          <w:tcPr>
            <w:tcW w:type="dxa" w:w="7827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UT 112 个，其中 V1 102、V2 10；其他验证方案 39 个；编号均唯一、引用有效</w:t>
            </w:r>
          </w:p>
        </w:tc>
      </w:tr>
      <w:tr>
        <w:tc>
          <w:tcPr>
            <w:tcW w:type="dxa" w:w="2109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覆盖矩阵</w:t>
            </w:r>
          </w:p>
        </w:tc>
        <w:tc>
          <w:tcPr>
            <w:tcW w:type="dxa" w:w="7827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101 行与正式需求一一对应，374 个需求—验证关联正反向完全一致，无悬空引用</w:t>
            </w:r>
          </w:p>
        </w:tc>
      </w:tr>
      <w:tr>
        <w:tc>
          <w:tcPr>
            <w:tcW w:type="dxa" w:w="2109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无纯 UT 的 V1 条款</w:t>
            </w:r>
          </w:p>
        </w:tc>
        <w:tc>
          <w:tcPr>
            <w:tcW w:type="dxa" w:w="7827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PLT-001/004/006、NFR-001/002/005 六条，分别以设备、用户流程、性能或审查方案覆盖，并说明原因</w:t>
            </w:r>
          </w:p>
        </w:tc>
      </w:tr>
      <w:tr>
        <w:tc>
          <w:tcPr>
            <w:tcW w:type="dxa" w:w="2109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Word 正文与结构</w:t>
            </w:r>
          </w:p>
        </w:tc>
        <w:tc>
          <w:tcPr>
            <w:tcW w:type="dxa" w:w="7827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三份均按顺序核对段落与表格文本；需求 13 表、报告 9 表、测试 4 表；标题样式、表格重复表头及超链接对应源文件</w:t>
            </w:r>
          </w:p>
        </w:tc>
      </w:tr>
      <w:tr>
        <w:tc>
          <w:tcPr>
            <w:tcW w:type="dxa" w:w="2109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格式核验边界</w:t>
            </w:r>
          </w:p>
        </w:tc>
        <w:tc>
          <w:tcPr>
            <w:tcW w:type="dxa" w:w="7827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内容和结构检查合格；未进行逐页视觉验收，不具有分页或实际字体呈现证据</w:t>
            </w:r>
          </w:p>
        </w:tc>
      </w:tr>
      <w:tr>
        <w:tc>
          <w:tcPr>
            <w:tcW w:type="dxa" w:w="2109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原有文件</w:t>
            </w:r>
          </w:p>
        </w:tc>
        <w:tc>
          <w:tcPr>
            <w:tcW w:type="dxa" w:w="7827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1.0 已记录 38 个来源文件内容摘要一致；1.1 文档修订未修改来源文件，不初始化新应用，不修改旧代码，不创建提交</w:t>
            </w:r>
          </w:p>
        </w:tc>
      </w:tr>
    </w:tbl>
    <w:p>
      <w:pPr>
        <w:pStyle w:val="Heading1"/>
      </w:pPr>
      <w:r>
        <w:rPr>
          <w:b w:val="0"/>
        </w:rPr>
        <w:t>7 版本与后续变更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115" w:type="dxa"/>
          <w:right w:w="115" w:type="dxa"/>
        </w:tblCellMar>
      </w:tblPr>
      <w:tblGrid>
        <w:gridCol w:w="1905"/>
        <w:gridCol w:w="4957"/>
        <w:gridCol w:w="3074"/>
      </w:tblGrid>
      <w:tr>
        <w:trPr>
          <w:tblHeader/>
        </w:trPr>
        <w:tc>
          <w:tcPr>
            <w:tcW w:type="dxa" w:w="1905"/>
            <w:vAlign w:val="center"/>
            <w:shd w:fill="E7EEF3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/>
                <w:sz w:val="21"/>
              </w:rPr>
              <w:t xml:space="preserve">版本</w:t>
            </w:r>
          </w:p>
        </w:tc>
        <w:tc>
          <w:tcPr>
            <w:tcW w:type="dxa" w:w="4957"/>
            <w:vAlign w:val="center"/>
            <w:shd w:fill="E7EEF3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/>
                <w:sz w:val="21"/>
              </w:rPr>
              <w:t xml:space="preserve">内容</w:t>
            </w:r>
          </w:p>
        </w:tc>
        <w:tc>
          <w:tcPr>
            <w:tcW w:type="dxa" w:w="3074"/>
            <w:vAlign w:val="center"/>
            <w:shd w:fill="E7EEF3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/>
                <w:sz w:val="21"/>
              </w:rPr>
              <w:t xml:space="preserve">状态</w:t>
            </w:r>
          </w:p>
        </w:tc>
      </w:tr>
      <w:tr>
        <w:tc>
          <w:tcPr>
            <w:tcW w:type="dxa" w:w="1905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0.1 初稿</w:t>
            </w:r>
          </w:p>
        </w:tc>
        <w:tc>
          <w:tcPr>
            <w:tcW w:type="dxa" w:w="4957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基于源码、全部业务文档、已确认边界及官方资料建立 101 条需求</w:t>
            </w:r>
          </w:p>
        </w:tc>
        <w:tc>
          <w:tcPr>
            <w:tcW w:type="dxa" w:w="3074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已完成，存在本报告列出的待修订问题</w:t>
            </w:r>
          </w:p>
        </w:tc>
      </w:tr>
      <w:tr>
        <w:tc>
          <w:tcPr>
            <w:tcW w:type="dxa" w:w="1905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0.2 审查修订</w:t>
            </w:r>
          </w:p>
        </w:tc>
        <w:tc>
          <w:tcPr>
            <w:tcW w:type="dxa" w:w="4957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关闭主要问题，补齐状态机、聚合、凭据、恢复及同步行为</w:t>
            </w:r>
          </w:p>
        </w:tc>
        <w:tc>
          <w:tcPr>
            <w:tcW w:type="dxa" w:w="3074"/>
            <w:vAlign w:val="center"/>
            <w:shd w:fill="F5F7F9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独立复核确认可进入测试设计</w:t>
            </w:r>
          </w:p>
        </w:tc>
      </w:tr>
      <w:tr>
        <w:tc>
          <w:tcPr>
            <w:tcW w:type="dxa" w:w="1905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1.0 交付基线</w:t>
            </w:r>
          </w:p>
        </w:tc>
        <w:tc>
          <w:tcPr>
            <w:tcW w:type="dxa" w:w="4957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补齐像素/参数细节，完成测试设计反查和 Markdown/Word 内容结构核验</w:t>
            </w:r>
          </w:p>
        </w:tc>
        <w:tc>
          <w:tcPr>
            <w:tcW w:type="dxa" w:w="3074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既有基线；尚无软件实现验收证据</w:t>
            </w:r>
          </w:p>
        </w:tc>
      </w:tr>
      <w:tr>
        <w:tc>
          <w:tcPr>
            <w:tcW w:type="dxa" w:w="1905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b w:val="0"/>
                <w:sz w:val="21"/>
              </w:rPr>
              <w:t xml:space="preserve">1.1 最小澄清</w:t>
            </w:r>
          </w:p>
        </w:tc>
        <w:tc>
          <w:tcPr>
            <w:tcW w:type="dxa" w:w="4957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明确同名身份、历史保留、创建时显示快照、成功结果检索及可见范围复制；同步既有测试与矩阵</w:t>
            </w:r>
          </w:p>
        </w:tc>
        <w:tc>
          <w:tcPr>
            <w:tcW w:type="dxa" w:w="3074"/>
            <w:vAlign w:val="center"/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b w:val="0"/>
                <w:sz w:val="21"/>
              </w:rPr>
              <w:t xml:space="preserve">当前内容与结构核验基线；测试均未执行，Word未逐页视觉验收</w:t>
            </w:r>
          </w:p>
        </w:tc>
      </w:tr>
    </w:tbl>
    <w:p>
      <w:r>
        <w:rPr>
          <w:b w:val="0"/>
        </w:rPr>
        <w:t>后续需求变更应记录提出原因、影响编号、阶段、验收及测试更新；不得用新的实现限制悄悄改写已确认规则。技术选型另行讨论，本文不批准或指定任何新技术方案。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ImageHost  新项目文档基线  2026-10-03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00" w:lineRule="auto"/>
    </w:pPr>
    <w:rPr>
      <w:rFonts w:ascii="Calibri" w:hAnsi="Calibri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b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cstheme="majorBidi" w:ascii="Calibri" w:hAnsi="Calibr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40"/>
      <w:outlineLvl w:val="1"/>
    </w:pPr>
    <w:rPr>
      <w:rFonts w:cstheme="majorBidi" w:ascii="Calibri" w:hAnsi="Calibr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40"/>
      <w:outlineLvl w:val="2"/>
    </w:pPr>
    <w:rPr>
      <w:rFonts w:cstheme="majorBidi" w:ascii="Calibri" w:hAnsi="Calibr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60" w:after="140"/>
      <w:outlineLvl w:val="3"/>
    </w:pPr>
    <w:rPr>
      <w:rFonts w:cstheme="majorBidi" w:ascii="Calibri" w:hAnsi="Calibri" w:eastAsia="Microsoft YaHei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</w:pPr>
    <w:rPr>
      <w:rFonts w:cstheme="majorBidi" w:ascii="Calibri" w:hAnsi="Calibri" w:eastAsia="Microsoft Ya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YaHei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Microsoft YaHei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iso.org/standard/72089.html" TargetMode="External"/><Relationship Id="rId12" Type="http://schemas.openxmlformats.org/officeDocument/2006/relationships/hyperlink" Target="https://www.nasa.gov/reference/system-engineering-handbook-appendix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ImageHost 全新项目需求二次检验报告</dc:title>
  <dc:subject>ImageHost 全新项目需求与测试基线</dc:subject>
  <dc:creator>ImageHost 项目文档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