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00000" w:sz="8" w:space="4"/>
          <w:bottom w:val="single" w:color="C00000" w:sz="8" w:space="4"/>
          <w:left w:val="single" w:color="C00000" w:sz="8" w:space="4"/>
          <w:right w:val="single" w:color="C00000" w:sz="8" w:space="4"/>
        </w:pBdr>
        <w:shd w:fill="FFF2F2" w:color="auto" w:val="clear"/>
        <w:spacing w:after="200" w:before="0" w:line="276" w:lineRule="auto"/>
        <w:jc w:val="left"/>
      </w:pPr>
      <w:r>
        <w:rPr>
          <w:rFonts w:ascii="Times New Roman" w:cs="Times New Roman" w:eastAsia="SimSun" w:hAnsi="Times New Roman"/>
          <w:sz w:val="20"/>
          <w:szCs w:val="20"/>
        </w:rPr>
        <w:t xml:space="preserve">Supplementary Material — v11（表型框架）。已有数字沿用 v2 模拟参数（FICTIONAL）；黄色高亮为占位符，只能由真实数据填写。</w:t>
      </w:r>
    </w:p>
    <w:p>
      <w:pPr>
        <w:spacing w:after="60" w:before="0" w:line="276" w:lineRule="auto"/>
        <w:jc w:val="center"/>
      </w:pPr>
      <w:r>
        <w:rPr>
          <w:rFonts w:ascii="Times New Roman" w:cs="Times New Roman" w:eastAsia="SimSun" w:hAnsi="Times New Roman"/>
          <w:b/>
          <w:bCs/>
          <w:sz w:val="30"/>
          <w:szCs w:val="30"/>
        </w:rPr>
        <w:t xml:space="preserve">Supplementary Material</w:t>
      </w:r>
    </w:p>
    <w:p>
      <w:pPr>
        <w:spacing w:after="240" w:before="0" w:line="276" w:lineRule="auto"/>
        <w:jc w:val="center"/>
      </w:pPr>
      <w:r>
        <w:rPr>
          <w:rFonts w:ascii="Times New Roman" w:cs="Times New Roman" w:eastAsia="SimSun" w:hAnsi="Times New Roman"/>
          <w:i/>
          <w:iCs/>
          <w:sz w:val="22"/>
          <w:szCs w:val="22"/>
        </w:rPr>
        <w:t xml:space="preserve">Is Persistent Acne at the Upper Lip, Chin, and Jawline a Distinct Regional Phenotype? A Cross-Sectional Study</w:t>
      </w:r>
    </w:p>
    <w:p>
      <w:pPr>
        <w:keepNext/>
        <w:spacing w:after="120" w:before="240" w:line="276" w:lineRule="auto"/>
        <w:jc w:val="left"/>
      </w:pPr>
      <w:r>
        <w:rPr>
          <w:rFonts w:ascii="Times New Roman" w:cs="Times New Roman" w:eastAsia="SimSun" w:hAnsi="Times New Roman"/>
          <w:b/>
          <w:bCs/>
          <w:sz w:val="28"/>
          <w:szCs w:val="28"/>
        </w:rPr>
        <w:t xml:space="preserve">Supplementary Methods</w:t>
      </w:r>
    </w:p>
    <w:p>
      <w:pPr>
        <w:keepNext/>
        <w:spacing w:after="120" w:before="200" w:line="276" w:lineRule="auto"/>
        <w:jc w:val="left"/>
      </w:pPr>
      <w:r>
        <w:rPr>
          <w:rFonts w:ascii="Times New Roman" w:cs="Times New Roman" w:eastAsia="SimSun" w:hAnsi="Times New Roman"/>
          <w:b/>
          <w:bCs/>
          <w:sz w:val="24"/>
          <w:szCs w:val="24"/>
        </w:rPr>
        <w:t xml:space="preserve">Study question and design rationale</w:t>
      </w:r>
    </w:p>
    <w:p>
      <w:pPr>
        <w:spacing w:after="100" w:before="0" w:line="276" w:lineRule="auto"/>
        <w:jc w:val="both"/>
      </w:pPr>
      <w:r>
        <w:rPr>
          <w:rFonts w:ascii="Times New Roman" w:cs="Times New Roman" w:eastAsia="SimSun" w:hAnsi="Times New Roman"/>
          <w:sz w:val="22"/>
          <w:szCs w:val="22"/>
        </w:rPr>
        <w:t xml:space="preserve">The study tests a clinical regional hypothesis: that persistent activity at the upper lip, chin, and jawline forms a coherent phenotype. Three properties were required, each prespecified with its own criterion (Supplementary Table S1): coherence (the 3 component sites share the direction of association with each clinical correlate, and the result does not depend on the chin alone); distinction (the correlates are more strongly associated with these sites than with the forehead, cheeks, and nose within the same participants); and clinical relevance (these sites are the main concern of patients more often than expected from their involvement). A positive pooled result alone was not considered sufficient.</w:t>
      </w:r>
    </w:p>
    <w:p>
      <w:pPr>
        <w:spacing w:after="100" w:before="0" w:line="276" w:lineRule="auto"/>
        <w:jc w:val="both"/>
      </w:pPr>
      <w:r>
        <w:rPr>
          <w:rFonts w:ascii="Times New Roman" w:cs="Times New Roman" w:eastAsia="SimSun" w:hAnsi="Times New Roman"/>
          <w:sz w:val="22"/>
          <w:szCs w:val="22"/>
        </w:rPr>
        <w:t xml:space="preserve">Lower-face involvement has been described as characteristic of adult female acne,[S1] although most adult women in a large international study had acne distributed as in adolescents[S2] and cheeks predominated in an Indian adult series.[S3] Facial sebaceous glands show higher type 1 5α-reductase activity than non-acne-prone skin,[S4] and beard follicles are androgen dependent.[S5] Premenstrual flares are common, yet one survey found no difference in facial distribution between women with and without them.[S6] BMI correlates with acne severity in women,[S7] and a low-glycemic-load diet improves acne;[S8] neither has been examined by site. A mandibular score has been proposed for adult female acne[S9] and reported in a spironolactone trial (main text reference 2), whereas a larger spironolactone trial did not report site-specific outcomes.[S10] The present study therefore does not claim that regional scoring is new; it tests whether this specific 3-site combination is coherent, distinct, and clinically relevant.</w:t>
      </w:r>
    </w:p>
    <w:p>
      <w:pPr>
        <w:spacing w:after="100" w:before="0" w:line="276" w:lineRule="auto"/>
        <w:jc w:val="both"/>
      </w:pPr>
      <w:r>
        <w:rPr>
          <w:rFonts w:ascii="Times New Roman" w:cs="Times New Roman" w:eastAsia="SimSun" w:hAnsi="Times New Roman"/>
          <w:sz w:val="22"/>
          <w:szCs w:val="22"/>
        </w:rPr>
        <w:t xml:space="preserve">The 4 correlates are clinical markers, not measurements of hormones or metabolism: age is a population characteristic; premenstrual aggravation is a reproductive-endocrine clinical clue; BMI ≥24 kg/m² reflects body size and possible metabolic risk, not established metabolic disease; and listed high-glycemic foods are a dietary exposure frequency, not a measured glycemic index, insulin, or IGF-1.</w:t>
      </w:r>
    </w:p>
    <w:p>
      <w:pPr>
        <w:keepNext/>
        <w:spacing w:after="120" w:before="200" w:line="276" w:lineRule="auto"/>
        <w:jc w:val="left"/>
      </w:pPr>
      <w:r>
        <w:rPr>
          <w:rFonts w:ascii="Times New Roman" w:cs="Times New Roman" w:eastAsia="SimSun" w:hAnsi="Times New Roman"/>
          <w:b/>
          <w:bCs/>
          <w:sz w:val="24"/>
          <w:szCs w:val="24"/>
        </w:rPr>
        <w:t xml:space="preserve">Participants and measures</w:t>
      </w:r>
    </w:p>
    <w:p>
      <w:pPr>
        <w:spacing w:after="100" w:before="0" w:line="276" w:lineRule="auto"/>
        <w:jc w:val="both"/>
      </w:pPr>
      <w:r>
        <w:rPr>
          <w:rFonts w:ascii="Times New Roman" w:cs="Times New Roman" w:eastAsia="SimSun" w:hAnsi="Times New Roman"/>
          <w:sz w:val="22"/>
          <w:szCs w:val="22"/>
        </w:rPr>
        <w:t xml:space="preserve">Setting: </w:t>
      </w:r>
      <w:r>
        <w:rPr>
          <w:rFonts w:ascii="Times New Roman" w:cs="Times New Roman" w:eastAsia="SimSun" w:hAnsi="Times New Roman"/>
          <w:sz w:val="22"/>
          <w:szCs w:val="22"/>
          <w:highlight w:val="yellow"/>
          <w:highlightCs w:val="yellow"/>
        </w:rPr>
        <w:t xml:space="preserve">institution(s)</w:t>
      </w:r>
      <w:r>
        <w:rPr>
          <w:rFonts w:ascii="Times New Roman" w:cs="Times New Roman" w:eastAsia="SimSun" w:hAnsi="Times New Roman"/>
          <w:sz w:val="22"/>
          <w:szCs w:val="22"/>
        </w:rPr>
        <w:t xml:space="preserve">; recruitment period: </w:t>
      </w:r>
      <w:r>
        <w:rPr>
          <w:rFonts w:ascii="Times New Roman" w:cs="Times New Roman" w:eastAsia="SimSun" w:hAnsi="Times New Roman"/>
          <w:sz w:val="22"/>
          <w:szCs w:val="22"/>
          <w:highlight w:val="yellow"/>
          <w:highlightCs w:val="yellow"/>
        </w:rPr>
        <w:t xml:space="preserve">dates</w:t>
      </w:r>
      <w:r>
        <w:rPr>
          <w:rFonts w:ascii="Times New Roman" w:cs="Times New Roman" w:eastAsia="SimSun" w:hAnsi="Times New Roman"/>
          <w:sz w:val="22"/>
          <w:szCs w:val="22"/>
        </w:rPr>
        <w:t xml:space="preserve">. Consecutive adults (≥18 years) with clinician-supported acne and no acne medication during the preceding 6 months were invited. The study was approved by </w:t>
      </w:r>
      <w:r>
        <w:rPr>
          <w:rFonts w:ascii="Times New Roman" w:cs="Times New Roman" w:eastAsia="SimSun" w:hAnsi="Times New Roman"/>
          <w:sz w:val="22"/>
          <w:szCs w:val="22"/>
          <w:highlight w:val="yellow"/>
          <w:highlightCs w:val="yellow"/>
        </w:rPr>
        <w:t xml:space="preserve">committee, approval number</w:t>
      </w:r>
      <w:r>
        <w:rPr>
          <w:rFonts w:ascii="Times New Roman" w:cs="Times New Roman" w:eastAsia="SimSun" w:hAnsi="Times New Roman"/>
          <w:sz w:val="22"/>
          <w:szCs w:val="22"/>
        </w:rPr>
        <w:t xml:space="preserve">; written informed consent was </w:t>
      </w:r>
      <w:r>
        <w:rPr>
          <w:rFonts w:ascii="Times New Roman" w:cs="Times New Roman" w:eastAsia="SimSun" w:hAnsi="Times New Roman"/>
          <w:sz w:val="22"/>
          <w:szCs w:val="22"/>
          <w:highlight w:val="yellow"/>
          <w:highlightCs w:val="yellow"/>
        </w:rPr>
        <w:t xml:space="preserve">obtained</w:t>
      </w:r>
      <w:r>
        <w:rPr>
          <w:rFonts w:ascii="Times New Roman" w:cs="Times New Roman" w:eastAsia="SimSun" w:hAnsi="Times New Roman"/>
          <w:sz w:val="22"/>
          <w:szCs w:val="22"/>
        </w:rPr>
        <w:t xml:space="preserve">.</w:t>
      </w:r>
    </w:p>
    <w:p>
      <w:pPr>
        <w:spacing w:after="100" w:before="0" w:line="276" w:lineRule="auto"/>
        <w:jc w:val="both"/>
      </w:pPr>
      <w:r>
        <w:rPr>
          <w:rFonts w:ascii="Times New Roman" w:cs="Times New Roman" w:eastAsia="SimSun" w:hAnsi="Times New Roman"/>
          <w:sz w:val="22"/>
          <w:szCs w:val="22"/>
        </w:rPr>
        <w:t xml:space="preserve">Seven sites were assessed with a standard diagram: forehead, right and left cheeks, nose, upper lip (philtral region), chin, and jawline (mandibular border, excluding the neck). "Beard-associated" is an anatomical term applied to both sexes. Activity (N1): active lesions at that site in at least 3 different months of the past 6 months (yes/no/uncertain); marks and scars do not count. This is a threshold for persistent or recurrent involvement within a recall window, not a measure of flare frequency. For each active site, participants recorded the highest lesion type recalled (Q10-R; Chinese grade I, comedones; II, papules; III, pustules; IV, nodules/cysts); this is the most severe type that occurred, not the most common type.</w:t>
      </w:r>
    </w:p>
    <w:p>
      <w:pPr>
        <w:spacing w:after="100" w:before="0" w:line="276" w:lineRule="auto"/>
        <w:jc w:val="both"/>
      </w:pPr>
      <w:r>
        <w:rPr>
          <w:rFonts w:ascii="Times New Roman" w:cs="Times New Roman" w:eastAsia="SimSun" w:hAnsi="Times New Roman"/>
          <w:sz w:val="22"/>
          <w:szCs w:val="22"/>
        </w:rPr>
        <w:t xml:space="preserve">At the visit, a physician recorded current global grade (C1) and current highest lesion type at each site (C1-L), and flagged possible alternative diagnoses (C2). C1-L describes current morphology and supports differential diagnosis; it is not used to validate 6-month recall. Participants also rated perceived oiliness at each site (N2); women with premenstrual aggravation indicated which sites were affected (N4); participants with any burden named the most bothersome site (Q41-R), the lesion types or sequelae that bothered them at each site (Q43-R), and their most important treatment goal and its location (N7).</w:t>
      </w:r>
    </w:p>
    <w:p>
      <w:pPr>
        <w:keepNext/>
        <w:spacing w:after="120" w:before="200" w:line="276" w:lineRule="auto"/>
        <w:jc w:val="left"/>
      </w:pPr>
      <w:r>
        <w:rPr>
          <w:rFonts w:ascii="Times New Roman" w:cs="Times New Roman" w:eastAsia="SimSun" w:hAnsi="Times New Roman"/>
          <w:b/>
          <w:bCs/>
          <w:sz w:val="24"/>
          <w:szCs w:val="24"/>
        </w:rPr>
        <w:t xml:space="preserve">Statistical analysis</w:t>
      </w:r>
    </w:p>
    <w:p>
      <w:pPr>
        <w:spacing w:after="100" w:before="0" w:line="276" w:lineRule="auto"/>
        <w:jc w:val="both"/>
      </w:pPr>
      <w:r>
        <w:rPr>
          <w:rFonts w:ascii="Times New Roman" w:cs="Times New Roman" w:eastAsia="SimSun" w:hAnsi="Times New Roman"/>
          <w:sz w:val="22"/>
          <w:szCs w:val="22"/>
        </w:rPr>
        <w:t xml:space="preserve">Step 1, coherence. Site-specific ORs for each correlate were estimated at all 7 sites (main Table I). A 2-df Wald test of correlate-by-component interaction within beard-associated rows is reported descriptively; non-significance is not interpreted as equivalence. Region contrasts were repeated with each component removed in turn, in particular without the chin, to test whether the region result depends on a single site (Supplementary Table S2).</w:t>
      </w:r>
    </w:p>
    <w:p>
      <w:pPr>
        <w:spacing w:after="100" w:before="0" w:line="276" w:lineRule="auto"/>
        <w:jc w:val="both"/>
      </w:pPr>
      <w:r>
        <w:rPr>
          <w:rFonts w:ascii="Times New Roman" w:cs="Times New Roman" w:eastAsia="SimSun" w:hAnsi="Times New Roman"/>
          <w:sz w:val="22"/>
          <w:szCs w:val="22"/>
        </w:rPr>
        <w:t xml:space="preserve">Step 2, distinction (primary). Data were arranged with one row per participant-site (580 × 7 = 4060 rows; 2800 for the menstrual analysis). For each correlate separately, logit Pr(activity) = site intercept + β·factor + γ·(factor × beard-associated site) + covariates, with participant-clustered standard errors. The ratio of ORs (ROR) is exp(γ). Covariates were age group, sex, BMI, and current global grade (clear, I, II, III, IV), omitting the factor itself and sex in the female-only model. Benjamini–Hochberg correction was applied across the 4 contrasts. The interaction compares regions within the same participants and is unaffected by confounders whose effect on the log-odds is the same at every site; confounders acting differently by region, and residual confounding by acne burden over the recall window, are not removed. Current global grade is a single-visit measure and does not capture 6-month burden.</w:t>
      </w:r>
    </w:p>
    <w:p>
      <w:pPr>
        <w:spacing w:after="100" w:before="0" w:line="276" w:lineRule="auto"/>
        <w:jc w:val="both"/>
      </w:pPr>
      <w:r>
        <w:rPr>
          <w:rFonts w:ascii="Times New Roman" w:cs="Times New Roman" w:eastAsia="SimSun" w:hAnsi="Times New Roman"/>
          <w:sz w:val="22"/>
          <w:szCs w:val="22"/>
        </w:rPr>
        <w:t xml:space="preserve">Validation and sensitivity analyses. (a) Grade III–IV activity (activity with recalled grade III or IV at that site) as the outcome, judged by direction; (b) the primary model without current global grade; (c) additional adjustment for site-level perceived oiliness; (d) additional adjustment for daily mask wearing ≥4 hours; (e) for the 3 non-age correlates, restriction to participants aged 18–25 years. A difference in the 18–25-year subgroup indicates effect modification by age within this sample; it cannot identify adult-onset acne. Attenuation after adjustment for site-level oiliness indicates overlap between the correlate and local oiliness; it cannot establish sebum as a mediator. Sex-specific RORs are reported for correlates applicable to both sexes (Supplementary Tables S3 and S4).</w:t>
      </w:r>
    </w:p>
    <w:p>
      <w:pPr>
        <w:spacing w:after="100" w:before="0" w:line="276" w:lineRule="auto"/>
        <w:jc w:val="both"/>
      </w:pPr>
      <w:r>
        <w:rPr>
          <w:rFonts w:ascii="Times New Roman" w:cs="Times New Roman" w:eastAsia="SimSun" w:hAnsi="Times New Roman"/>
          <w:sz w:val="22"/>
          <w:szCs w:val="22"/>
        </w:rPr>
        <w:t xml:space="preserve">Step 3, clinical relevance. Among participants with both regions involved and a single most bothersome site among their involved sites, the expected number of beard-associated choices was Σ(beard-associated involved sites / all involved sites); observed and expected counts were compared with an exact Poisson-binomial test. Participants whose most bothersome site did not meet the activity threshold (for example, because scars or marks were the main concern) were retained and described, not excluded. At the most bothersome site, the type of bother (active lesions, marks, scars) was summarized from Q43-R, and treatment goals and their locations from N7. Current nodules or cysts at examination (C1-L) and site-specific premenstrual aggravation (N4) were summarized by region; both are descriptive, and N4 shares the self-report source of the premenstrual correlate (Supplementary Table S5).</w:t>
      </w:r>
    </w:p>
    <w:p>
      <w:pPr>
        <w:spacing w:after="100" w:before="0" w:line="276" w:lineRule="auto"/>
        <w:jc w:val="both"/>
      </w:pPr>
      <w:r>
        <w:rPr>
          <w:rFonts w:ascii="Times New Roman" w:cs="Times New Roman" w:eastAsia="SimSun" w:hAnsi="Times New Roman"/>
          <w:sz w:val="22"/>
          <w:szCs w:val="22"/>
        </w:rPr>
        <w:t xml:space="preserve">Auxiliary and exploratory analyses. Self-reported oily skin and heavy sweating were analyzed in the same model and reported descriptively (Supplementary Table S6). Resting sweat secretion is highest on the forehead and eccrine gland density lowest on the upper lip;[S11] sebum output is higher on the forehead and nose than on the cheeks, but the chin is also sebum-rich,[S12] and lesion counts have correlated with cheek rather than forehead–nose–chin sebum.[S13] Exploratory factors carry nominal P values (Supplementary Table S7). Clinical considerations in the main text remain within current guidelines.[S14] Software: </w:t>
      </w:r>
      <w:r>
        <w:rPr>
          <w:rFonts w:ascii="Times New Roman" w:cs="Times New Roman" w:eastAsia="SimSun" w:hAnsi="Times New Roman"/>
          <w:sz w:val="22"/>
          <w:szCs w:val="22"/>
          <w:highlight w:val="yellow"/>
          <w:highlightCs w:val="yellow"/>
        </w:rPr>
        <w:t xml:space="preserve">name, version</w:t>
      </w:r>
      <w:r>
        <w:rPr>
          <w:rFonts w:ascii="Times New Roman" w:cs="Times New Roman" w:eastAsia="SimSun" w:hAnsi="Times New Roman"/>
          <w:sz w:val="22"/>
          <w:szCs w:val="22"/>
        </w:rPr>
        <w:t xml:space="preserve">.</w:t>
      </w:r>
    </w:p>
    <w:p>
      <w:pPr>
        <w:keepNext/>
        <w:spacing w:after="120" w:before="200" w:line="276" w:lineRule="auto"/>
        <w:jc w:val="left"/>
      </w:pPr>
      <w:r>
        <w:rPr>
          <w:rFonts w:ascii="Times New Roman" w:cs="Times New Roman" w:eastAsia="SimSun" w:hAnsi="Times New Roman"/>
          <w:b/>
          <w:bCs/>
          <w:sz w:val="24"/>
          <w:szCs w:val="24"/>
        </w:rPr>
        <w:t xml:space="preserve">Supplementary references</w:t>
      </w:r>
    </w:p>
    <w:p>
      <w:pPr>
        <w:spacing w:after="60" w:before="0" w:line="276" w:lineRule="auto"/>
        <w:jc w:val="left"/>
      </w:pPr>
      <w:r>
        <w:rPr>
          <w:rFonts w:ascii="Times New Roman" w:cs="Times New Roman" w:eastAsia="SimSun" w:hAnsi="Times New Roman"/>
          <w:sz w:val="20"/>
          <w:szCs w:val="20"/>
        </w:rPr>
        <w:t xml:space="preserve">S1. Dréno B, Layton A, Zouboulis CC, et al. Adult female acne: a new paradigm. J Eur Acad Dermatol Venereol. 2013;27(9):1063-1070. doi:10.1111/jdv.12061</w:t>
      </w:r>
    </w:p>
    <w:p>
      <w:pPr>
        <w:spacing w:after="60" w:before="0" w:line="276" w:lineRule="auto"/>
        <w:jc w:val="left"/>
      </w:pPr>
      <w:r>
        <w:rPr>
          <w:rFonts w:ascii="Times New Roman" w:cs="Times New Roman" w:eastAsia="SimSun" w:hAnsi="Times New Roman"/>
          <w:sz w:val="20"/>
          <w:szCs w:val="20"/>
        </w:rPr>
        <w:t xml:space="preserve">S2. Dréno B, Thiboutot D, Layton AM, Berson D, Perez M, Kang S. Large-scale international study enhances understanding of an emerging acne population: adult females. J Eur Acad Dermatol Venereol. 2015;29(6):1096-1106. doi:10.1111/jdv.12757</w:t>
      </w:r>
    </w:p>
    <w:p>
      <w:pPr>
        <w:spacing w:after="60" w:before="0" w:line="276" w:lineRule="auto"/>
        <w:jc w:val="left"/>
      </w:pPr>
      <w:r>
        <w:rPr>
          <w:rFonts w:ascii="Times New Roman" w:cs="Times New Roman" w:eastAsia="SimSun" w:hAnsi="Times New Roman"/>
          <w:sz w:val="20"/>
          <w:szCs w:val="20"/>
        </w:rPr>
        <w:t xml:space="preserve">S3. Khunger N, Kumar C. A clinico-epidemiological study of adult acne: is it different from adolescent acne? Indian J Dermatol Venereol Leprol. 2012;78(3):335-341. doi:10.4103/0378-6323.95450</w:t>
      </w:r>
    </w:p>
    <w:p>
      <w:pPr>
        <w:spacing w:after="60" w:before="0" w:line="276" w:lineRule="auto"/>
        <w:jc w:val="left"/>
      </w:pPr>
      <w:r>
        <w:rPr>
          <w:rFonts w:ascii="Times New Roman" w:cs="Times New Roman" w:eastAsia="SimSun" w:hAnsi="Times New Roman"/>
          <w:sz w:val="20"/>
          <w:szCs w:val="20"/>
        </w:rPr>
        <w:t xml:space="preserve">S4. Thiboutot D, Harris G, Iles V, Cimis G, Gilliland K, Hagari S. Activity of the type 1 5α-reductase exhibits regional differences in isolated sebaceous glands and whole skin. J Invest Dermatol. 1995;105(2):209-214. doi:10.1111/1523-1747.ep12317162</w:t>
      </w:r>
    </w:p>
    <w:p>
      <w:pPr>
        <w:spacing w:after="60" w:before="0" w:line="276" w:lineRule="auto"/>
        <w:jc w:val="left"/>
      </w:pPr>
      <w:r>
        <w:rPr>
          <w:rFonts w:ascii="Times New Roman" w:cs="Times New Roman" w:eastAsia="SimSun" w:hAnsi="Times New Roman"/>
          <w:sz w:val="20"/>
          <w:szCs w:val="20"/>
        </w:rPr>
        <w:t xml:space="preserve">S5. Randall VA. Androgen-dependent human hair growth: a biological paradox. Endocr Abstr. 2004;7:S24. </w:t>
      </w:r>
      <w:r>
        <w:rPr>
          <w:rFonts w:ascii="Times New Roman" w:cs="Times New Roman" w:eastAsia="SimSun" w:hAnsi="Times New Roman"/>
          <w:sz w:val="20"/>
          <w:szCs w:val="20"/>
          <w:highlight w:val="yellow"/>
          <w:highlightCs w:val="yellow"/>
        </w:rPr>
        <w:t xml:space="preserve">consider replacing with Randall VA, Androgens and hair growth, Dermatol Ther 2008, after verification</w:t>
      </w:r>
    </w:p>
    <w:p>
      <w:pPr>
        <w:spacing w:after="60" w:before="0" w:line="276" w:lineRule="auto"/>
        <w:jc w:val="left"/>
      </w:pPr>
      <w:r>
        <w:rPr>
          <w:rFonts w:ascii="Times New Roman" w:cs="Times New Roman" w:eastAsia="SimSun" w:hAnsi="Times New Roman"/>
          <w:sz w:val="20"/>
          <w:szCs w:val="20"/>
        </w:rPr>
        <w:t xml:space="preserve">S6. Geller L, Rosen J, Frankel A, Goldenberg G. Perimenstrual flare of adult acne. J Clin Aesthet Dermatol. 2014;7(8):30-34.</w:t>
      </w:r>
    </w:p>
    <w:p>
      <w:pPr>
        <w:spacing w:after="60" w:before="0" w:line="276" w:lineRule="auto"/>
        <w:jc w:val="left"/>
      </w:pPr>
      <w:r>
        <w:rPr>
          <w:rFonts w:ascii="Times New Roman" w:cs="Times New Roman" w:eastAsia="SimSun" w:hAnsi="Times New Roman"/>
          <w:sz w:val="20"/>
          <w:szCs w:val="20"/>
        </w:rPr>
        <w:t xml:space="preserve">S7. Alan S, Cenesizoglu E. Effects of hyperandrogenism and high body mass index on acne severity in women. Saudi Med J. 2014;35(8):886-889.</w:t>
      </w:r>
    </w:p>
    <w:p>
      <w:pPr>
        <w:spacing w:after="60" w:before="0" w:line="276" w:lineRule="auto"/>
        <w:jc w:val="left"/>
      </w:pPr>
      <w:r>
        <w:rPr>
          <w:rFonts w:ascii="Times New Roman" w:cs="Times New Roman" w:eastAsia="SimSun" w:hAnsi="Times New Roman"/>
          <w:sz w:val="20"/>
          <w:szCs w:val="20"/>
        </w:rPr>
        <w:t xml:space="preserve">S8. Smith RN, Mann NJ, Braue A, Mäkeläinen H, Varigos GA. A low-glycemic-load diet improves symptoms in acne vulgaris patients: a randomized controlled trial. Am J Clin Nutr. 2007;86(1):107-115. </w:t>
      </w:r>
      <w:r>
        <w:rPr>
          <w:rFonts w:ascii="Times New Roman" w:cs="Times New Roman" w:eastAsia="SimSun" w:hAnsi="Times New Roman"/>
          <w:sz w:val="20"/>
          <w:szCs w:val="20"/>
          <w:highlight w:val="yellow"/>
          <w:highlightCs w:val="yellow"/>
        </w:rPr>
        <w:t xml:space="preserve">verify page range</w:t>
      </w:r>
    </w:p>
    <w:p>
      <w:pPr>
        <w:spacing w:after="60" w:before="0" w:line="276" w:lineRule="auto"/>
        <w:jc w:val="left"/>
      </w:pPr>
      <w:r>
        <w:rPr>
          <w:rFonts w:ascii="Times New Roman" w:cs="Times New Roman" w:eastAsia="SimSun" w:hAnsi="Times New Roman"/>
          <w:sz w:val="20"/>
          <w:szCs w:val="20"/>
        </w:rPr>
        <w:t xml:space="preserve">S9. Auffret N, Claudel JP, Leccia MT, et al. AFAST – Adult Female Acne Scoring Tool: an easy-to-use tool for scoring acne in adult females. J Eur Acad Dermatol Venereol. 2016;30(5):824-828. doi:10.1111/jdv.13518 </w:t>
      </w:r>
      <w:r>
        <w:rPr>
          <w:rFonts w:ascii="Times New Roman" w:cs="Times New Roman" w:eastAsia="SimSun" w:hAnsi="Times New Roman"/>
          <w:sz w:val="20"/>
          <w:szCs w:val="20"/>
          <w:highlight w:val="yellow"/>
          <w:highlightCs w:val="yellow"/>
        </w:rPr>
        <w:t xml:space="preserve">verify volume and pages</w:t>
      </w:r>
    </w:p>
    <w:p>
      <w:pPr>
        <w:spacing w:after="60" w:before="0" w:line="276" w:lineRule="auto"/>
        <w:jc w:val="left"/>
      </w:pPr>
      <w:r>
        <w:rPr>
          <w:rFonts w:ascii="Times New Roman" w:cs="Times New Roman" w:eastAsia="SimSun" w:hAnsi="Times New Roman"/>
          <w:sz w:val="20"/>
          <w:szCs w:val="20"/>
        </w:rPr>
        <w:t xml:space="preserve">S10. Santer M, Lawrence M, Renz S, et al. Effectiveness of spironolactone for women with acne vulgaris (SAFA) in England and Wales: pragmatic, multicentre, phase 3, double blind, randomised controlled trial. BMJ. 2023;381:e074349. doi:10.1136/bmj-2022-074349</w:t>
      </w:r>
    </w:p>
    <w:p>
      <w:pPr>
        <w:spacing w:after="60" w:before="0" w:line="276" w:lineRule="auto"/>
        <w:jc w:val="left"/>
      </w:pPr>
      <w:r>
        <w:rPr>
          <w:rFonts w:ascii="Times New Roman" w:cs="Times New Roman" w:eastAsia="SimSun" w:hAnsi="Times New Roman"/>
          <w:sz w:val="20"/>
          <w:szCs w:val="20"/>
        </w:rPr>
        <w:t xml:space="preserve">S11. Taylor NAS, Machado-Moreira CA. Regional variations in transepidermal water loss, eccrine sweat gland density, sweat secretion rates and electrolyte composition in resting and exercising humans. Extrem Physiol Med. 2013;2:4. doi:10.1186/2046-7648-2-4</w:t>
      </w:r>
    </w:p>
    <w:p>
      <w:pPr>
        <w:spacing w:after="60" w:before="0" w:line="276" w:lineRule="auto"/>
        <w:jc w:val="left"/>
      </w:pPr>
      <w:r>
        <w:rPr>
          <w:rFonts w:ascii="Times New Roman" w:cs="Times New Roman" w:eastAsia="SimSun" w:hAnsi="Times New Roman"/>
          <w:sz w:val="20"/>
          <w:szCs w:val="20"/>
        </w:rPr>
        <w:t xml:space="preserve">S12. Youn SW, Na JI, Choi SY, Huh CH, Park KC. Regional and seasonal variations in facial sebum secretions: a proposal for the definition of combination skin type. Skin Res Technol. 2005;11(3):189-195. doi:10.1111/j.1600-0846.2005.00119.x</w:t>
      </w:r>
    </w:p>
    <w:p>
      <w:pPr>
        <w:spacing w:after="60" w:before="0" w:line="276" w:lineRule="auto"/>
        <w:jc w:val="left"/>
      </w:pPr>
      <w:r>
        <w:rPr>
          <w:rFonts w:ascii="Times New Roman" w:cs="Times New Roman" w:eastAsia="SimSun" w:hAnsi="Times New Roman"/>
          <w:sz w:val="20"/>
          <w:szCs w:val="20"/>
        </w:rPr>
        <w:t xml:space="preserve">S13. Jung IS, Yun SJ, Lee JB. The difference in sebum secretion affecting development of acne. Ann Dermatol. 2019;31(4):426-433. doi:10.5021/ad.2019.31.4.426</w:t>
      </w:r>
    </w:p>
    <w:p>
      <w:pPr>
        <w:spacing w:after="60" w:before="0" w:line="276" w:lineRule="auto"/>
        <w:jc w:val="left"/>
      </w:pPr>
      <w:r>
        <w:rPr>
          <w:rFonts w:ascii="Times New Roman" w:cs="Times New Roman" w:eastAsia="SimSun" w:hAnsi="Times New Roman"/>
          <w:sz w:val="20"/>
          <w:szCs w:val="20"/>
        </w:rPr>
        <w:t xml:space="preserve">S14. Reynolds RV, Yeung H, Cheng CE, et al. Guidelines of care for the management of acne vulgaris. J Am Acad Dermatol. 2024;90(5):1006.e1-1006.e30. doi:10.1016/j.jaad.2023.12.017</w:t>
      </w:r>
    </w:p>
    <w:p>
      <w:r>
        <w:br w:type="page"/>
      </w:r>
    </w:p>
    <w:p>
      <w:pPr>
        <w:spacing w:after="120" w:before="0" w:line="276" w:lineRule="auto"/>
        <w:jc w:val="left"/>
      </w:pPr>
      <w:r>
        <w:rPr>
          <w:rFonts w:ascii="Times New Roman" w:cs="Times New Roman" w:eastAsia="SimSun" w:hAnsi="Times New Roman"/>
          <w:b/>
          <w:bCs/>
          <w:sz w:val="20"/>
          <w:szCs w:val="20"/>
        </w:rPr>
        <w:t xml:space="preserve">Supplementary Fig S1.</w:t>
      </w:r>
      <w:r>
        <w:rPr>
          <w:rFonts w:ascii="Times New Roman" w:cs="Times New Roman" w:eastAsia="SimSun" w:hAnsi="Times New Roman"/>
          <w:sz w:val="20"/>
          <w:szCs w:val="20"/>
        </w:rPr>
        <w:t xml:space="preserve"> Proportion of participants with qualifying activity at each site (shading) and, among involved sites, the proportion with recalled grade III–IV lesions. Beard-associated sites are outlined; the jawline is 1 site shown bilaterally. Fictional data.</w:t>
      </w:r>
    </w:p>
    <w:p>
      <w:pPr>
        <w:jc w:val="center"/>
      </w:pPr>
      <w:r>
        <w:drawing>
          <wp:inline distT="0" distB="0" distL="0" distR="0">
            <wp:extent cx="2857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819400"/>
                    </a:xfrm>
                    <a:prstGeom prst="rect">
                      <a:avLst/>
                    </a:prstGeom>
                  </pic:spPr>
                </pic:pic>
              </a:graphicData>
            </a:graphic>
          </wp:inline>
        </w:drawing>
      </w:r>
    </w:p>
    <w:p>
      <w:pPr>
        <w:spacing w:after="160" w:before="0" w:line="276" w:lineRule="auto"/>
        <w:jc w:val="left"/>
      </w:pPr>
    </w:p>
    <w:p>
      <w:pPr>
        <w:keepNext/>
        <w:spacing w:after="60" w:before="0" w:line="276" w:lineRule="auto"/>
        <w:jc w:val="left"/>
      </w:pPr>
      <w:r>
        <w:rPr>
          <w:rFonts w:ascii="Times New Roman" w:cs="Times New Roman" w:eastAsia="SimSun" w:hAnsi="Times New Roman"/>
          <w:b/>
          <w:bCs/>
          <w:sz w:val="22"/>
          <w:szCs w:val="22"/>
        </w:rPr>
        <w:t xml:space="preserve">Supplementary Table S1.</w:t>
      </w:r>
      <w:r>
        <w:rPr>
          <w:rFonts w:ascii="Times New Roman" w:cs="Times New Roman" w:eastAsia="SimSun" w:hAnsi="Times New Roman"/>
          <w:sz w:val="22"/>
          <w:szCs w:val="22"/>
        </w:rPr>
        <w:t xml:space="preserve"> Prespecified criteria for each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26"/>
        <w:gridCol w:w="3000"/>
      </w:tblGrid>
      <w:tr>
        <w:trPr>
          <w:tblHeader/>
        </w:trPr>
        <w:tc>
          <w:tcPr>
            <w:tcW w:type="dxa" w:w="18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left"/>
            </w:pPr>
            <w:r>
              <w:rPr>
                <w:rFonts w:ascii="Times New Roman" w:cs="Times New Roman" w:eastAsia="SimSun" w:hAnsi="Times New Roman"/>
                <w:b/>
                <w:bCs/>
                <w:sz w:val="17"/>
                <w:szCs w:val="17"/>
              </w:rPr>
              <w:t xml:space="preserve">Step</w:t>
            </w:r>
          </w:p>
        </w:tc>
        <w:tc>
          <w:tcPr>
            <w:tcW w:type="dxa" w:w="4226"/>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left"/>
            </w:pPr>
            <w:r>
              <w:rPr>
                <w:rFonts w:ascii="Times New Roman" w:cs="Times New Roman" w:eastAsia="SimSun" w:hAnsi="Times New Roman"/>
                <w:b/>
                <w:bCs/>
                <w:sz w:val="17"/>
                <w:szCs w:val="17"/>
              </w:rPr>
              <w:t xml:space="preserve">Criterion for support</w:t>
            </w:r>
          </w:p>
        </w:tc>
        <w:tc>
          <w:tcPr>
            <w:tcW w:type="dxa" w:w="30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left"/>
            </w:pPr>
            <w:r>
              <w:rPr>
                <w:rFonts w:ascii="Times New Roman" w:cs="Times New Roman" w:eastAsia="SimSun" w:hAnsi="Times New Roman"/>
                <w:b/>
                <w:bCs/>
                <w:sz w:val="17"/>
                <w:szCs w:val="17"/>
              </w:rPr>
              <w:t xml:space="preserve">If not met</w:t>
            </w:r>
          </w:p>
        </w:tc>
      </w:tr>
      <w:tr>
        <w:trPr>
          <w:cantSplit/>
        </w:trPr>
        <w:tc>
          <w:tcPr>
            <w:tcW w:type="dxa" w:w="18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Coherence</w:t>
            </w:r>
          </w:p>
        </w:tc>
        <w:tc>
          <w:tcPr>
            <w:tcW w:type="dxa" w:w="422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For ≥3 of 4 correlates, the OR point estimate is &gt;1 at each of the upper lip, chin, and jawline, and the ROR excluding the chin is &gt;1</w:t>
            </w:r>
          </w:p>
        </w:tc>
        <w:tc>
          <w:tcPr>
            <w:tcW w:type="dxa" w:w="30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Report component sites separately; the region claim is limited to the components that meet the criterion</w:t>
            </w:r>
          </w:p>
        </w:tc>
      </w:tr>
      <w:tr>
        <w:trPr>
          <w:cantSplit/>
        </w:trPr>
        <w:tc>
          <w:tcPr>
            <w:tcW w:type="dxa" w:w="18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Distinction (primary)</w:t>
            </w:r>
          </w:p>
        </w:tc>
        <w:tc>
          <w:tcPr>
            <w:tcW w:type="dxa" w:w="422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≥3 of 4 RORs &gt;1 with Benjamini–Hochberg-adjusted P &lt;.05, with the same direction for grade III–IV activity</w:t>
            </w:r>
          </w:p>
        </w:tc>
        <w:tc>
          <w:tcPr>
            <w:tcW w:type="dxa" w:w="30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Report as a descriptive distribution study; no regional phenotype claim</w:t>
            </w:r>
          </w:p>
        </w:tc>
      </w:tr>
      <w:tr>
        <w:trPr>
          <w:cantSplit/>
        </w:trPr>
        <w:tc>
          <w:tcPr>
            <w:tcW w:type="dxa" w:w="18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Clinical relevance</w:t>
            </w:r>
          </w:p>
        </w:tc>
        <w:tc>
          <w:tcPr>
            <w:tcW w:type="dxa" w:w="422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Observed beard-associated choices of most bothersome site exceed expectation (exact P &lt;.05)</w:t>
            </w:r>
          </w:p>
        </w:tc>
        <w:tc>
          <w:tcPr>
            <w:tcW w:type="dxa" w:w="30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Retain the association findings; remove the patient-priority statement from the Key Message</w:t>
            </w:r>
          </w:p>
        </w:tc>
      </w:tr>
      <w:tr>
        <w:trPr>
          <w:cantSplit/>
        </w:trPr>
        <w:tc>
          <w:tcPr>
            <w:tcW w:type="dxa" w:w="18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Overall</w:t>
            </w:r>
          </w:p>
        </w:tc>
        <w:tc>
          <w:tcPr>
            <w:tcW w:type="dxa" w:w="4226"/>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Regional phenotype language is used only if all 3 steps are supported</w:t>
            </w:r>
          </w:p>
        </w:tc>
        <w:tc>
          <w:tcPr>
            <w:tcW w:type="dxa" w:w="30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With 2 of 3 supported, describe as "partial support" and name the unmet step</w:t>
            </w:r>
          </w:p>
        </w:tc>
      </w:tr>
    </w:tbl>
    <w:p>
      <w:r>
        <w:br w:type="page"/>
      </w:r>
    </w:p>
    <w:p>
      <w:pPr>
        <w:keepNext/>
        <w:spacing w:after="60" w:before="0" w:line="276" w:lineRule="auto"/>
        <w:jc w:val="left"/>
      </w:pPr>
      <w:r>
        <w:rPr>
          <w:rFonts w:ascii="Times New Roman" w:cs="Times New Roman" w:eastAsia="SimSun" w:hAnsi="Times New Roman"/>
          <w:b/>
          <w:bCs/>
          <w:sz w:val="22"/>
          <w:szCs w:val="22"/>
        </w:rPr>
        <w:t xml:space="preserve">Supplementary Table S2.</w:t>
      </w:r>
      <w:r>
        <w:rPr>
          <w:rFonts w:ascii="Times New Roman" w:cs="Times New Roman" w:eastAsia="SimSun" w:hAnsi="Times New Roman"/>
          <w:sz w:val="22"/>
          <w:szCs w:val="22"/>
        </w:rPr>
        <w:t xml:space="preserve"> Coherence checks</w:t>
      </w:r>
    </w:p>
    <w:p>
      <w:pPr>
        <w:spacing w:after="60" w:before="0" w:line="240" w:lineRule="auto"/>
        <w:jc w:val="left"/>
      </w:pPr>
      <w:r>
        <w:rPr>
          <w:rFonts w:ascii="Times New Roman" w:cs="Times New Roman" w:eastAsia="SimSun" w:hAnsi="Times New Roman"/>
          <w:sz w:val="18"/>
          <w:szCs w:val="18"/>
        </w:rPr>
        <w:t xml:space="preserve">TO BE FILLED WITH REAL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600"/>
        <w:gridCol w:w="1700"/>
        <w:gridCol w:w="1700"/>
        <w:gridCol w:w="1600"/>
      </w:tblGrid>
      <w:tr>
        <w:trPr>
          <w:tblHeader/>
        </w:trPr>
        <w:tc>
          <w:tcPr>
            <w:tcW w:type="dxa" w:w="2426"/>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left"/>
            </w:pPr>
            <w:r>
              <w:rPr>
                <w:rFonts w:ascii="Times New Roman" w:cs="Times New Roman" w:eastAsia="SimSun" w:hAnsi="Times New Roman"/>
                <w:b/>
                <w:bCs/>
                <w:sz w:val="17"/>
                <w:szCs w:val="17"/>
              </w:rPr>
              <w:t xml:space="preserve">Correlate</w:t>
            </w:r>
          </w:p>
        </w:tc>
        <w:tc>
          <w:tcPr>
            <w:tcW w:type="dxa" w:w="16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center"/>
            </w:pPr>
            <w:r>
              <w:rPr>
                <w:rFonts w:ascii="Times New Roman" w:cs="Times New Roman" w:eastAsia="SimSun" w:hAnsi="Times New Roman"/>
                <w:b/>
                <w:bCs/>
                <w:sz w:val="17"/>
                <w:szCs w:val="17"/>
              </w:rPr>
              <w:t xml:space="preserve">Component heterogeneity P</w:t>
            </w:r>
          </w:p>
        </w:tc>
        <w:tc>
          <w:tcPr>
            <w:tcW w:type="dxa" w:w="17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center"/>
            </w:pPr>
            <w:r>
              <w:rPr>
                <w:rFonts w:ascii="Times New Roman" w:cs="Times New Roman" w:eastAsia="SimSun" w:hAnsi="Times New Roman"/>
                <w:b/>
                <w:bCs/>
                <w:sz w:val="17"/>
                <w:szCs w:val="17"/>
              </w:rPr>
              <w:t xml:space="preserve">ROR without chin</w:t>
            </w:r>
          </w:p>
        </w:tc>
        <w:tc>
          <w:tcPr>
            <w:tcW w:type="dxa" w:w="17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center"/>
            </w:pPr>
            <w:r>
              <w:rPr>
                <w:rFonts w:ascii="Times New Roman" w:cs="Times New Roman" w:eastAsia="SimSun" w:hAnsi="Times New Roman"/>
                <w:b/>
                <w:bCs/>
                <w:sz w:val="17"/>
                <w:szCs w:val="17"/>
              </w:rPr>
              <w:t xml:space="preserve">ROR without upper lip</w:t>
            </w:r>
          </w:p>
        </w:tc>
        <w:tc>
          <w:tcPr>
            <w:tcW w:type="dxa" w:w="16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center"/>
            </w:pPr>
            <w:r>
              <w:rPr>
                <w:rFonts w:ascii="Times New Roman" w:cs="Times New Roman" w:eastAsia="SimSun" w:hAnsi="Times New Roman"/>
                <w:b/>
                <w:bCs/>
                <w:sz w:val="17"/>
                <w:szCs w:val="17"/>
              </w:rPr>
              <w:t xml:space="preserve">ROR without jawline</w:t>
            </w:r>
          </w:p>
        </w:tc>
      </w:tr>
      <w:tr>
        <w:trPr>
          <w:cantSplit/>
        </w:trPr>
        <w:tc>
          <w:tcPr>
            <w:tcW w:type="dxa" w:w="242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Age &gt;25 y</w:t>
            </w:r>
          </w:p>
        </w:tc>
        <w:tc>
          <w:tcPr>
            <w:tcW w:type="dxa" w:w="16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7"/>
                <w:szCs w:val="17"/>
                <w:highlight w:val="yellow"/>
                <w:highlightCs w:val="yellow"/>
              </w:rPr>
              <w:t xml:space="preserve">__</w:t>
            </w:r>
          </w:p>
        </w:tc>
        <w:tc>
          <w:tcPr>
            <w:tcW w:type="dxa" w:w="1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7"/>
                <w:szCs w:val="17"/>
                <w:highlight w:val="yellow"/>
                <w:highlightCs w:val="yellow"/>
              </w:rPr>
              <w:t xml:space="preserve">__ (__–__)</w:t>
            </w:r>
          </w:p>
        </w:tc>
        <w:tc>
          <w:tcPr>
            <w:tcW w:type="dxa" w:w="1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7"/>
                <w:szCs w:val="17"/>
                <w:highlight w:val="yellow"/>
                <w:highlightCs w:val="yellow"/>
              </w:rPr>
              <w:t xml:space="preserve">__ (__–__)</w:t>
            </w:r>
          </w:p>
        </w:tc>
        <w:tc>
          <w:tcPr>
            <w:tcW w:type="dxa" w:w="16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7"/>
                <w:szCs w:val="17"/>
                <w:highlight w:val="yellow"/>
                <w:highlightCs w:val="yellow"/>
              </w:rPr>
              <w:t xml:space="preserve">__ (__–__)</w:t>
            </w:r>
          </w:p>
        </w:tc>
      </w:tr>
      <w:tr>
        <w:trPr>
          <w:cantSplit/>
        </w:trPr>
        <w:tc>
          <w:tcPr>
            <w:tcW w:type="dxa" w:w="242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Premenstrual aggravation</w:t>
            </w:r>
          </w:p>
        </w:tc>
        <w:tc>
          <w:tcPr>
            <w:tcW w:type="dxa" w:w="16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7"/>
                <w:szCs w:val="17"/>
                <w:highlight w:val="yellow"/>
                <w:highlightCs w:val="yellow"/>
              </w:rPr>
              <w:t xml:space="preserve">__</w:t>
            </w:r>
          </w:p>
        </w:tc>
        <w:tc>
          <w:tcPr>
            <w:tcW w:type="dxa" w:w="1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7"/>
                <w:szCs w:val="17"/>
                <w:highlight w:val="yellow"/>
                <w:highlightCs w:val="yellow"/>
              </w:rPr>
              <w:t xml:space="preserve">__ (__–__)</w:t>
            </w:r>
          </w:p>
        </w:tc>
        <w:tc>
          <w:tcPr>
            <w:tcW w:type="dxa" w:w="1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7"/>
                <w:szCs w:val="17"/>
                <w:highlight w:val="yellow"/>
                <w:highlightCs w:val="yellow"/>
              </w:rPr>
              <w:t xml:space="preserve">__ (__–__)</w:t>
            </w:r>
          </w:p>
        </w:tc>
        <w:tc>
          <w:tcPr>
            <w:tcW w:type="dxa" w:w="16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7"/>
                <w:szCs w:val="17"/>
                <w:highlight w:val="yellow"/>
                <w:highlightCs w:val="yellow"/>
              </w:rPr>
              <w:t xml:space="preserve">__ (__–__)</w:t>
            </w:r>
          </w:p>
        </w:tc>
      </w:tr>
      <w:tr>
        <w:trPr>
          <w:cantSplit/>
        </w:trPr>
        <w:tc>
          <w:tcPr>
            <w:tcW w:type="dxa" w:w="242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BMI ≥24 kg/m²</w:t>
            </w:r>
          </w:p>
        </w:tc>
        <w:tc>
          <w:tcPr>
            <w:tcW w:type="dxa" w:w="16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7"/>
                <w:szCs w:val="17"/>
                <w:highlight w:val="yellow"/>
                <w:highlightCs w:val="yellow"/>
              </w:rPr>
              <w:t xml:space="preserve">__</w:t>
            </w:r>
          </w:p>
        </w:tc>
        <w:tc>
          <w:tcPr>
            <w:tcW w:type="dxa" w:w="1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7"/>
                <w:szCs w:val="17"/>
                <w:highlight w:val="yellow"/>
                <w:highlightCs w:val="yellow"/>
              </w:rPr>
              <w:t xml:space="preserve">__ (__–__)</w:t>
            </w:r>
          </w:p>
        </w:tc>
        <w:tc>
          <w:tcPr>
            <w:tcW w:type="dxa" w:w="1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7"/>
                <w:szCs w:val="17"/>
                <w:highlight w:val="yellow"/>
                <w:highlightCs w:val="yellow"/>
              </w:rPr>
              <w:t xml:space="preserve">__ (__–__)</w:t>
            </w:r>
          </w:p>
        </w:tc>
        <w:tc>
          <w:tcPr>
            <w:tcW w:type="dxa" w:w="16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7"/>
                <w:szCs w:val="17"/>
                <w:highlight w:val="yellow"/>
                <w:highlightCs w:val="yellow"/>
              </w:rPr>
              <w:t xml:space="preserve">__ (__–__)</w:t>
            </w:r>
          </w:p>
        </w:tc>
      </w:tr>
      <w:tr>
        <w:trPr>
          <w:cantSplit/>
        </w:trPr>
        <w:tc>
          <w:tcPr>
            <w:tcW w:type="dxa" w:w="2426"/>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Listed high-GI foods ≥3/wk</w:t>
            </w:r>
          </w:p>
        </w:tc>
        <w:tc>
          <w:tcPr>
            <w:tcW w:type="dxa" w:w="16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7"/>
                <w:szCs w:val="17"/>
                <w:highlight w:val="yellow"/>
                <w:highlightCs w:val="yellow"/>
              </w:rPr>
              <w:t xml:space="preserve">__</w:t>
            </w:r>
          </w:p>
        </w:tc>
        <w:tc>
          <w:tcPr>
            <w:tcW w:type="dxa" w:w="17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7"/>
                <w:szCs w:val="17"/>
                <w:highlight w:val="yellow"/>
                <w:highlightCs w:val="yellow"/>
              </w:rPr>
              <w:t xml:space="preserve">__ (__–__)</w:t>
            </w:r>
          </w:p>
        </w:tc>
        <w:tc>
          <w:tcPr>
            <w:tcW w:type="dxa" w:w="17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7"/>
                <w:szCs w:val="17"/>
                <w:highlight w:val="yellow"/>
                <w:highlightCs w:val="yellow"/>
              </w:rPr>
              <w:t xml:space="preserve">__ (__–__)</w:t>
            </w:r>
          </w:p>
        </w:tc>
        <w:tc>
          <w:tcPr>
            <w:tcW w:type="dxa" w:w="16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7"/>
                <w:szCs w:val="17"/>
                <w:highlight w:val="yellow"/>
                <w:highlightCs w:val="yellow"/>
              </w:rPr>
              <w:t xml:space="preserve">__ (__–__)</w:t>
            </w:r>
          </w:p>
        </w:tc>
      </w:tr>
    </w:tbl>
    <w:p>
      <w:pPr>
        <w:spacing w:after="160" w:before="0" w:line="276" w:lineRule="auto"/>
        <w:jc w:val="left"/>
      </w:pPr>
    </w:p>
    <w:p>
      <w:pPr>
        <w:keepNext/>
        <w:spacing w:after="60" w:before="0" w:line="276" w:lineRule="auto"/>
        <w:jc w:val="left"/>
      </w:pPr>
      <w:r>
        <w:rPr>
          <w:rFonts w:ascii="Times New Roman" w:cs="Times New Roman" w:eastAsia="SimSun" w:hAnsi="Times New Roman"/>
          <w:b/>
          <w:bCs/>
          <w:sz w:val="22"/>
          <w:szCs w:val="22"/>
        </w:rPr>
        <w:t xml:space="preserve">Supplementary Table S3.</w:t>
      </w:r>
      <w:r>
        <w:rPr>
          <w:rFonts w:ascii="Times New Roman" w:cs="Times New Roman" w:eastAsia="SimSun" w:hAnsi="Times New Roman"/>
          <w:sz w:val="22"/>
          <w:szCs w:val="22"/>
        </w:rPr>
        <w:t xml:space="preserve"> Validation and sensitivity analyses, ROR (95% CI)</w:t>
      </w:r>
    </w:p>
    <w:p>
      <w:pPr>
        <w:spacing w:after="60" w:before="0" w:line="240" w:lineRule="auto"/>
        <w:jc w:val="left"/>
      </w:pPr>
      <w:r>
        <w:rPr>
          <w:rFonts w:ascii="Times New Roman" w:cs="Times New Roman" w:eastAsia="SimSun" w:hAnsi="Times New Roman"/>
          <w:sz w:val="18"/>
          <w:szCs w:val="18"/>
        </w:rPr>
        <w:t xml:space="preserve">Primary column repeats fictional parameters; other columns TO BE FILLED.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6"/>
        <w:gridCol w:w="1300"/>
        <w:gridCol w:w="1200"/>
        <w:gridCol w:w="1200"/>
        <w:gridCol w:w="1200"/>
        <w:gridCol w:w="1200"/>
        <w:gridCol w:w="1200"/>
      </w:tblGrid>
      <w:tr>
        <w:trPr>
          <w:tblHeader/>
        </w:trPr>
        <w:tc>
          <w:tcPr>
            <w:tcW w:type="dxa" w:w="1726"/>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left"/>
            </w:pPr>
            <w:r>
              <w:rPr>
                <w:rFonts w:ascii="Times New Roman" w:cs="Times New Roman" w:eastAsia="SimSun" w:hAnsi="Times New Roman"/>
                <w:b/>
                <w:bCs/>
                <w:sz w:val="15"/>
                <w:szCs w:val="15"/>
              </w:rPr>
              <w:t xml:space="preserve">Correlate</w:t>
            </w:r>
          </w:p>
        </w:tc>
        <w:tc>
          <w:tcPr>
            <w:tcW w:type="dxa" w:w="13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center"/>
            </w:pPr>
            <w:r>
              <w:rPr>
                <w:rFonts w:ascii="Times New Roman" w:cs="Times New Roman" w:eastAsia="SimSun" w:hAnsi="Times New Roman"/>
                <w:b/>
                <w:bCs/>
                <w:sz w:val="15"/>
                <w:szCs w:val="15"/>
              </w:rPr>
              <w:t xml:space="preserve">Primary</w:t>
            </w:r>
          </w:p>
        </w:tc>
        <w:tc>
          <w:tcPr>
            <w:tcW w:type="dxa" w:w="12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center"/>
            </w:pPr>
            <w:r>
              <w:rPr>
                <w:rFonts w:ascii="Times New Roman" w:cs="Times New Roman" w:eastAsia="SimSun" w:hAnsi="Times New Roman"/>
                <w:b/>
                <w:bCs/>
                <w:sz w:val="15"/>
                <w:szCs w:val="15"/>
              </w:rPr>
              <w:t xml:space="preserve">Grade III–IV activity</w:t>
            </w:r>
          </w:p>
        </w:tc>
        <w:tc>
          <w:tcPr>
            <w:tcW w:type="dxa" w:w="12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center"/>
            </w:pPr>
            <w:r>
              <w:rPr>
                <w:rFonts w:ascii="Times New Roman" w:cs="Times New Roman" w:eastAsia="SimSun" w:hAnsi="Times New Roman"/>
                <w:b/>
                <w:bCs/>
                <w:sz w:val="15"/>
                <w:szCs w:val="15"/>
              </w:rPr>
              <w:t xml:space="preserve">Without global grade</w:t>
            </w:r>
          </w:p>
        </w:tc>
        <w:tc>
          <w:tcPr>
            <w:tcW w:type="dxa" w:w="12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center"/>
            </w:pPr>
            <w:r>
              <w:rPr>
                <w:rFonts w:ascii="Times New Roman" w:cs="Times New Roman" w:eastAsia="SimSun" w:hAnsi="Times New Roman"/>
                <w:b/>
                <w:bCs/>
                <w:sz w:val="15"/>
                <w:szCs w:val="15"/>
              </w:rPr>
              <w:t xml:space="preserve">+ Site-level oiliness</w:t>
            </w:r>
          </w:p>
        </w:tc>
        <w:tc>
          <w:tcPr>
            <w:tcW w:type="dxa" w:w="12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center"/>
            </w:pPr>
            <w:r>
              <w:rPr>
                <w:rFonts w:ascii="Times New Roman" w:cs="Times New Roman" w:eastAsia="SimSun" w:hAnsi="Times New Roman"/>
                <w:b/>
                <w:bCs/>
                <w:sz w:val="15"/>
                <w:szCs w:val="15"/>
              </w:rPr>
              <w:t xml:space="preserve">+ Mask wearing</w:t>
            </w:r>
          </w:p>
        </w:tc>
        <w:tc>
          <w:tcPr>
            <w:tcW w:type="dxa" w:w="12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center"/>
            </w:pPr>
            <w:r>
              <w:rPr>
                <w:rFonts w:ascii="Times New Roman" w:cs="Times New Roman" w:eastAsia="SimSun" w:hAnsi="Times New Roman"/>
                <w:b/>
                <w:bCs/>
                <w:sz w:val="15"/>
                <w:szCs w:val="15"/>
              </w:rPr>
              <w:t xml:space="preserve">Aged 18–25 y</w:t>
            </w:r>
          </w:p>
        </w:tc>
      </w:tr>
      <w:tr>
        <w:trPr>
          <w:cantSplit/>
        </w:trPr>
        <w:tc>
          <w:tcPr>
            <w:tcW w:type="dxa" w:w="172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5"/>
                <w:szCs w:val="15"/>
              </w:rPr>
              <w:t xml:space="preserve">Age &gt;25 y</w:t>
            </w:r>
          </w:p>
        </w:tc>
        <w:tc>
          <w:tcPr>
            <w:tcW w:type="dxa" w:w="13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rPr>
              <w:t xml:space="preserve">2.14 (1.51–3.05)</w:t>
            </w:r>
          </w:p>
        </w:tc>
        <w:tc>
          <w:tcPr>
            <w:tcW w:type="dxa" w:w="1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highlight w:val="yellow"/>
                <w:highlightCs w:val="yellow"/>
              </w:rPr>
              <w:t xml:space="preserve">__ (__–__)</w:t>
            </w:r>
          </w:p>
        </w:tc>
        <w:tc>
          <w:tcPr>
            <w:tcW w:type="dxa" w:w="1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highlight w:val="yellow"/>
                <w:highlightCs w:val="yellow"/>
              </w:rPr>
              <w:t xml:space="preserve">__ (__–__)</w:t>
            </w:r>
          </w:p>
        </w:tc>
        <w:tc>
          <w:tcPr>
            <w:tcW w:type="dxa" w:w="1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highlight w:val="yellow"/>
                <w:highlightCs w:val="yellow"/>
              </w:rPr>
              <w:t xml:space="preserve">__ (__–__)</w:t>
            </w:r>
          </w:p>
        </w:tc>
        <w:tc>
          <w:tcPr>
            <w:tcW w:type="dxa" w:w="1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highlight w:val="yellow"/>
                <w:highlightCs w:val="yellow"/>
              </w:rPr>
              <w:t xml:space="preserve">__ (__–__)</w:t>
            </w:r>
          </w:p>
        </w:tc>
        <w:tc>
          <w:tcPr>
            <w:tcW w:type="dxa" w:w="1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rPr>
              <w:t xml:space="preserve">Not applicable</w:t>
            </w:r>
          </w:p>
        </w:tc>
      </w:tr>
      <w:tr>
        <w:trPr>
          <w:cantSplit/>
        </w:trPr>
        <w:tc>
          <w:tcPr>
            <w:tcW w:type="dxa" w:w="172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5"/>
                <w:szCs w:val="15"/>
              </w:rPr>
              <w:t xml:space="preserve">Premenstrual aggravation</w:t>
            </w:r>
          </w:p>
        </w:tc>
        <w:tc>
          <w:tcPr>
            <w:tcW w:type="dxa" w:w="13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rPr>
              <w:t xml:space="preserve">2.02 (1.29–3.17)</w:t>
            </w:r>
          </w:p>
        </w:tc>
        <w:tc>
          <w:tcPr>
            <w:tcW w:type="dxa" w:w="1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highlight w:val="yellow"/>
                <w:highlightCs w:val="yellow"/>
              </w:rPr>
              <w:t xml:space="preserve">__ (__–__)</w:t>
            </w:r>
          </w:p>
        </w:tc>
        <w:tc>
          <w:tcPr>
            <w:tcW w:type="dxa" w:w="1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highlight w:val="yellow"/>
                <w:highlightCs w:val="yellow"/>
              </w:rPr>
              <w:t xml:space="preserve">__ (__–__)</w:t>
            </w:r>
          </w:p>
        </w:tc>
        <w:tc>
          <w:tcPr>
            <w:tcW w:type="dxa" w:w="1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highlight w:val="yellow"/>
                <w:highlightCs w:val="yellow"/>
              </w:rPr>
              <w:t xml:space="preserve">__ (__–__)</w:t>
            </w:r>
          </w:p>
        </w:tc>
        <w:tc>
          <w:tcPr>
            <w:tcW w:type="dxa" w:w="1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highlight w:val="yellow"/>
                <w:highlightCs w:val="yellow"/>
              </w:rPr>
              <w:t xml:space="preserve">__ (__–__)</w:t>
            </w:r>
          </w:p>
        </w:tc>
        <w:tc>
          <w:tcPr>
            <w:tcW w:type="dxa" w:w="1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highlight w:val="yellow"/>
                <w:highlightCs w:val="yellow"/>
              </w:rPr>
              <w:t xml:space="preserve">__ (__–__)</w:t>
            </w:r>
          </w:p>
        </w:tc>
      </w:tr>
      <w:tr>
        <w:trPr>
          <w:cantSplit/>
        </w:trPr>
        <w:tc>
          <w:tcPr>
            <w:tcW w:type="dxa" w:w="172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5"/>
                <w:szCs w:val="15"/>
              </w:rPr>
              <w:t xml:space="preserve">BMI ≥24 kg/m²</w:t>
            </w:r>
          </w:p>
        </w:tc>
        <w:tc>
          <w:tcPr>
            <w:tcW w:type="dxa" w:w="13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rPr>
              <w:t xml:space="preserve">1.72 (1.19–2.50)</w:t>
            </w:r>
          </w:p>
        </w:tc>
        <w:tc>
          <w:tcPr>
            <w:tcW w:type="dxa" w:w="1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highlight w:val="yellow"/>
                <w:highlightCs w:val="yellow"/>
              </w:rPr>
              <w:t xml:space="preserve">__ (__–__)</w:t>
            </w:r>
          </w:p>
        </w:tc>
        <w:tc>
          <w:tcPr>
            <w:tcW w:type="dxa" w:w="1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highlight w:val="yellow"/>
                <w:highlightCs w:val="yellow"/>
              </w:rPr>
              <w:t xml:space="preserve">__ (__–__)</w:t>
            </w:r>
          </w:p>
        </w:tc>
        <w:tc>
          <w:tcPr>
            <w:tcW w:type="dxa" w:w="1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highlight w:val="yellow"/>
                <w:highlightCs w:val="yellow"/>
              </w:rPr>
              <w:t xml:space="preserve">__ (__–__)</w:t>
            </w:r>
          </w:p>
        </w:tc>
        <w:tc>
          <w:tcPr>
            <w:tcW w:type="dxa" w:w="1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highlight w:val="yellow"/>
                <w:highlightCs w:val="yellow"/>
              </w:rPr>
              <w:t xml:space="preserve">__ (__–__)</w:t>
            </w:r>
          </w:p>
        </w:tc>
        <w:tc>
          <w:tcPr>
            <w:tcW w:type="dxa" w:w="1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highlight w:val="yellow"/>
                <w:highlightCs w:val="yellow"/>
              </w:rPr>
              <w:t xml:space="preserve">__ (__–__)</w:t>
            </w:r>
          </w:p>
        </w:tc>
      </w:tr>
      <w:tr>
        <w:trPr>
          <w:cantSplit/>
        </w:trPr>
        <w:tc>
          <w:tcPr>
            <w:tcW w:type="dxa" w:w="1726"/>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5"/>
                <w:szCs w:val="15"/>
              </w:rPr>
              <w:t xml:space="preserve">Listed high-GI foods ≥3/wk</w:t>
            </w:r>
          </w:p>
        </w:tc>
        <w:tc>
          <w:tcPr>
            <w:tcW w:type="dxa" w:w="13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rPr>
              <w:t xml:space="preserve">1.44 (1.01–2.05)</w:t>
            </w:r>
          </w:p>
        </w:tc>
        <w:tc>
          <w:tcPr>
            <w:tcW w:type="dxa" w:w="12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highlight w:val="yellow"/>
                <w:highlightCs w:val="yellow"/>
              </w:rPr>
              <w:t xml:space="preserve">__ (__–__)</w:t>
            </w:r>
          </w:p>
        </w:tc>
        <w:tc>
          <w:tcPr>
            <w:tcW w:type="dxa" w:w="12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highlight w:val="yellow"/>
                <w:highlightCs w:val="yellow"/>
              </w:rPr>
              <w:t xml:space="preserve">__ (__–__)</w:t>
            </w:r>
          </w:p>
        </w:tc>
        <w:tc>
          <w:tcPr>
            <w:tcW w:type="dxa" w:w="12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highlight w:val="yellow"/>
                <w:highlightCs w:val="yellow"/>
              </w:rPr>
              <w:t xml:space="preserve">__ (__–__)</w:t>
            </w:r>
          </w:p>
        </w:tc>
        <w:tc>
          <w:tcPr>
            <w:tcW w:type="dxa" w:w="12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highlight w:val="yellow"/>
                <w:highlightCs w:val="yellow"/>
              </w:rPr>
              <w:t xml:space="preserve">__ (__–__)</w:t>
            </w:r>
          </w:p>
        </w:tc>
        <w:tc>
          <w:tcPr>
            <w:tcW w:type="dxa" w:w="12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5"/>
                <w:szCs w:val="15"/>
                <w:highlight w:val="yellow"/>
                <w:highlightCs w:val="yellow"/>
              </w:rPr>
              <w:t xml:space="preserve">__ (__–__)</w:t>
            </w:r>
          </w:p>
        </w:tc>
      </w:tr>
    </w:tbl>
    <w:p>
      <w:pPr>
        <w:spacing w:after="160" w:before="0" w:line="276" w:lineRule="auto"/>
        <w:jc w:val="left"/>
      </w:pPr>
    </w:p>
    <w:p>
      <w:pPr>
        <w:keepNext/>
        <w:spacing w:after="60" w:before="0" w:line="276" w:lineRule="auto"/>
        <w:jc w:val="left"/>
      </w:pPr>
      <w:r>
        <w:rPr>
          <w:rFonts w:ascii="Times New Roman" w:cs="Times New Roman" w:eastAsia="SimSun" w:hAnsi="Times New Roman"/>
          <w:b/>
          <w:bCs/>
          <w:sz w:val="22"/>
          <w:szCs w:val="22"/>
        </w:rPr>
        <w:t xml:space="preserve">Supplementary Table S4.</w:t>
      </w:r>
      <w:r>
        <w:rPr>
          <w:rFonts w:ascii="Times New Roman" w:cs="Times New Roman" w:eastAsia="SimSun" w:hAnsi="Times New Roman"/>
          <w:sz w:val="22"/>
          <w:szCs w:val="22"/>
        </w:rPr>
        <w:t xml:space="preserve"> Contrasts by sex, ROR (95% CI)</w:t>
      </w:r>
    </w:p>
    <w:p>
      <w:pPr>
        <w:spacing w:after="60" w:before="0" w:line="240" w:lineRule="auto"/>
        <w:jc w:val="left"/>
      </w:pPr>
      <w:r>
        <w:rPr>
          <w:rFonts w:ascii="Times New Roman" w:cs="Times New Roman" w:eastAsia="SimSun" w:hAnsi="Times New Roman"/>
          <w:sz w:val="18"/>
          <w:szCs w:val="18"/>
        </w:rPr>
        <w:t xml:space="preserve">TO BE FILLED WITH REAL DATA (fictional sample: 150 men, 430 women).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100"/>
        <w:gridCol w:w="2100"/>
        <w:gridCol w:w="2000"/>
      </w:tblGrid>
      <w:tr>
        <w:trPr>
          <w:tblHeader/>
        </w:trPr>
        <w:tc>
          <w:tcPr>
            <w:tcW w:type="dxa" w:w="2826"/>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left"/>
            </w:pPr>
            <w:r>
              <w:rPr>
                <w:rFonts w:ascii="Times New Roman" w:cs="Times New Roman" w:eastAsia="SimSun" w:hAnsi="Times New Roman"/>
                <w:b/>
                <w:bCs/>
                <w:sz w:val="18"/>
                <w:szCs w:val="18"/>
              </w:rPr>
              <w:t xml:space="preserve">Correlate</w:t>
            </w:r>
          </w:p>
        </w:tc>
        <w:tc>
          <w:tcPr>
            <w:tcW w:type="dxa" w:w="21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center"/>
            </w:pPr>
            <w:r>
              <w:rPr>
                <w:rFonts w:ascii="Times New Roman" w:cs="Times New Roman" w:eastAsia="SimSun" w:hAnsi="Times New Roman"/>
                <w:b/>
                <w:bCs/>
                <w:sz w:val="18"/>
                <w:szCs w:val="18"/>
              </w:rPr>
              <w:t xml:space="preserve">Men</w:t>
            </w:r>
          </w:p>
        </w:tc>
        <w:tc>
          <w:tcPr>
            <w:tcW w:type="dxa" w:w="21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center"/>
            </w:pPr>
            <w:r>
              <w:rPr>
                <w:rFonts w:ascii="Times New Roman" w:cs="Times New Roman" w:eastAsia="SimSun" w:hAnsi="Times New Roman"/>
                <w:b/>
                <w:bCs/>
                <w:sz w:val="18"/>
                <w:szCs w:val="18"/>
              </w:rPr>
              <w:t xml:space="preserve">Women</w:t>
            </w:r>
          </w:p>
        </w:tc>
        <w:tc>
          <w:tcPr>
            <w:tcW w:type="dxa" w:w="20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center"/>
            </w:pPr>
            <w:r>
              <w:rPr>
                <w:rFonts w:ascii="Times New Roman" w:cs="Times New Roman" w:eastAsia="SimSun" w:hAnsi="Times New Roman"/>
                <w:b/>
                <w:bCs/>
                <w:sz w:val="18"/>
                <w:szCs w:val="18"/>
              </w:rPr>
              <w:t xml:space="preserve">Sex interaction P</w:t>
            </w:r>
          </w:p>
        </w:tc>
      </w:tr>
      <w:tr>
        <w:trPr>
          <w:cantSplit/>
        </w:trPr>
        <w:tc>
          <w:tcPr>
            <w:tcW w:type="dxa" w:w="282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8"/>
                <w:szCs w:val="18"/>
              </w:rPr>
              <w:t xml:space="preserve">Age &gt;25 y</w:t>
            </w:r>
          </w:p>
        </w:tc>
        <w:tc>
          <w:tcPr>
            <w:tcW w:type="dxa" w:w="21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8"/>
                <w:szCs w:val="18"/>
                <w:highlight w:val="yellow"/>
                <w:highlightCs w:val="yellow"/>
              </w:rPr>
              <w:t xml:space="preserve">__ (__–__)</w:t>
            </w:r>
          </w:p>
        </w:tc>
        <w:tc>
          <w:tcPr>
            <w:tcW w:type="dxa" w:w="21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8"/>
                <w:szCs w:val="18"/>
                <w:highlight w:val="yellow"/>
                <w:highlightCs w:val="yellow"/>
              </w:rPr>
              <w:t xml:space="preserve">__ (__–__)</w:t>
            </w:r>
          </w:p>
        </w:tc>
        <w:tc>
          <w:tcPr>
            <w:tcW w:type="dxa" w:w="20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8"/>
                <w:szCs w:val="18"/>
                <w:highlight w:val="yellow"/>
                <w:highlightCs w:val="yellow"/>
              </w:rPr>
              <w:t xml:space="preserve">__</w:t>
            </w:r>
          </w:p>
        </w:tc>
      </w:tr>
      <w:tr>
        <w:trPr>
          <w:cantSplit/>
        </w:trPr>
        <w:tc>
          <w:tcPr>
            <w:tcW w:type="dxa" w:w="282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8"/>
                <w:szCs w:val="18"/>
              </w:rPr>
              <w:t xml:space="preserve">BMI ≥24 kg/m²</w:t>
            </w:r>
          </w:p>
        </w:tc>
        <w:tc>
          <w:tcPr>
            <w:tcW w:type="dxa" w:w="21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8"/>
                <w:szCs w:val="18"/>
                <w:highlight w:val="yellow"/>
                <w:highlightCs w:val="yellow"/>
              </w:rPr>
              <w:t xml:space="preserve">__ (__–__)</w:t>
            </w:r>
          </w:p>
        </w:tc>
        <w:tc>
          <w:tcPr>
            <w:tcW w:type="dxa" w:w="21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8"/>
                <w:szCs w:val="18"/>
                <w:highlight w:val="yellow"/>
                <w:highlightCs w:val="yellow"/>
              </w:rPr>
              <w:t xml:space="preserve">__ (__–__)</w:t>
            </w:r>
          </w:p>
        </w:tc>
        <w:tc>
          <w:tcPr>
            <w:tcW w:type="dxa" w:w="20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8"/>
                <w:szCs w:val="18"/>
                <w:highlight w:val="yellow"/>
                <w:highlightCs w:val="yellow"/>
              </w:rPr>
              <w:t xml:space="preserve">__</w:t>
            </w:r>
          </w:p>
        </w:tc>
      </w:tr>
      <w:tr>
        <w:trPr>
          <w:cantSplit/>
        </w:trPr>
        <w:tc>
          <w:tcPr>
            <w:tcW w:type="dxa" w:w="2826"/>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8"/>
                <w:szCs w:val="18"/>
              </w:rPr>
              <w:t xml:space="preserve">Listed high-GI foods ≥3/wk</w:t>
            </w:r>
          </w:p>
        </w:tc>
        <w:tc>
          <w:tcPr>
            <w:tcW w:type="dxa" w:w="21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8"/>
                <w:szCs w:val="18"/>
                <w:highlight w:val="yellow"/>
                <w:highlightCs w:val="yellow"/>
              </w:rPr>
              <w:t xml:space="preserve">__ (__–__)</w:t>
            </w:r>
          </w:p>
        </w:tc>
        <w:tc>
          <w:tcPr>
            <w:tcW w:type="dxa" w:w="21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8"/>
                <w:szCs w:val="18"/>
                <w:highlight w:val="yellow"/>
                <w:highlightCs w:val="yellow"/>
              </w:rPr>
              <w:t xml:space="preserve">__ (__–__)</w:t>
            </w:r>
          </w:p>
        </w:tc>
        <w:tc>
          <w:tcPr>
            <w:tcW w:type="dxa" w:w="20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8"/>
                <w:szCs w:val="18"/>
                <w:highlight w:val="yellow"/>
                <w:highlightCs w:val="yellow"/>
              </w:rPr>
              <w:t xml:space="preserve">__</w:t>
            </w:r>
          </w:p>
        </w:tc>
      </w:tr>
    </w:tbl>
    <w:p>
      <w:r>
        <w:br w:type="page"/>
      </w:r>
    </w:p>
    <w:p>
      <w:pPr>
        <w:keepNext/>
        <w:spacing w:after="60" w:before="0" w:line="276" w:lineRule="auto"/>
        <w:jc w:val="left"/>
      </w:pPr>
      <w:r>
        <w:rPr>
          <w:rFonts w:ascii="Times New Roman" w:cs="Times New Roman" w:eastAsia="SimSun" w:hAnsi="Times New Roman"/>
          <w:b/>
          <w:bCs/>
          <w:sz w:val="22"/>
          <w:szCs w:val="22"/>
        </w:rPr>
        <w:t xml:space="preserve">Supplementary Table S5.</w:t>
      </w:r>
      <w:r>
        <w:rPr>
          <w:rFonts w:ascii="Times New Roman" w:cs="Times New Roman" w:eastAsia="SimSun" w:hAnsi="Times New Roman"/>
          <w:sz w:val="22"/>
          <w:szCs w:val="22"/>
        </w:rPr>
        <w:t xml:space="preserve"> Clinical relevance</w:t>
      </w:r>
    </w:p>
    <w:p>
      <w:pPr>
        <w:spacing w:after="60" w:before="0" w:line="240" w:lineRule="auto"/>
        <w:jc w:val="left"/>
      </w:pPr>
      <w:r>
        <w:rPr>
          <w:rFonts w:ascii="Times New Roman" w:cs="Times New Roman" w:eastAsia="SimSun" w:hAnsi="Times New Roman"/>
          <w:sz w:val="18"/>
          <w:szCs w:val="18"/>
        </w:rPr>
        <w:t xml:space="preserve">Fictional values where shown; other cells TO BE FILLED.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700"/>
        <w:gridCol w:w="1500"/>
        <w:gridCol w:w="2200"/>
      </w:tblGrid>
      <w:tr>
        <w:trPr>
          <w:tblHeader/>
        </w:trPr>
        <w:tc>
          <w:tcPr>
            <w:tcW w:type="dxa" w:w="3626"/>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left"/>
            </w:pPr>
            <w:r>
              <w:rPr>
                <w:rFonts w:ascii="Times New Roman" w:cs="Times New Roman" w:eastAsia="SimSun" w:hAnsi="Times New Roman"/>
                <w:b/>
                <w:bCs/>
                <w:sz w:val="16"/>
                <w:szCs w:val="16"/>
              </w:rPr>
              <w:t xml:space="preserve">Measure</w:t>
            </w:r>
          </w:p>
        </w:tc>
        <w:tc>
          <w:tcPr>
            <w:tcW w:type="dxa" w:w="17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left"/>
            </w:pPr>
            <w:r>
              <w:rPr>
                <w:rFonts w:ascii="Times New Roman" w:cs="Times New Roman" w:eastAsia="SimSun" w:hAnsi="Times New Roman"/>
                <w:b/>
                <w:bCs/>
                <w:sz w:val="16"/>
                <w:szCs w:val="16"/>
              </w:rPr>
              <w:t xml:space="preserve">Beard-associated sites</w:t>
            </w:r>
          </w:p>
        </w:tc>
        <w:tc>
          <w:tcPr>
            <w:tcW w:type="dxa" w:w="15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left"/>
            </w:pPr>
            <w:r>
              <w:rPr>
                <w:rFonts w:ascii="Times New Roman" w:cs="Times New Roman" w:eastAsia="SimSun" w:hAnsi="Times New Roman"/>
                <w:b/>
                <w:bCs/>
                <w:sz w:val="16"/>
                <w:szCs w:val="16"/>
              </w:rPr>
              <w:t xml:space="preserve">Other sites</w:t>
            </w:r>
          </w:p>
        </w:tc>
        <w:tc>
          <w:tcPr>
            <w:tcW w:type="dxa" w:w="22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left"/>
            </w:pPr>
            <w:r>
              <w:rPr>
                <w:rFonts w:ascii="Times New Roman" w:cs="Times New Roman" w:eastAsia="SimSun" w:hAnsi="Times New Roman"/>
                <w:b/>
                <w:bCs/>
                <w:sz w:val="16"/>
                <w:szCs w:val="16"/>
              </w:rPr>
              <w:t xml:space="preserve">Note</w:t>
            </w:r>
          </w:p>
        </w:tc>
      </w:tr>
      <w:tr>
        <w:trPr>
          <w:cantSplit/>
        </w:trPr>
        <w:tc>
          <w:tcPr>
            <w:tcW w:type="dxa" w:w="362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rPr>
              <w:t xml:space="preserve">Most bothersome site among participants with both regions involved, n/N</w:t>
            </w:r>
          </w:p>
        </w:tc>
        <w:tc>
          <w:tcPr>
            <w:tcW w:type="dxa" w:w="1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rPr>
              <w:t xml:space="preserve">112/170 (65.9%)</w:t>
            </w:r>
          </w:p>
        </w:tc>
        <w:tc>
          <w:tcPr>
            <w:tcW w:type="dxa" w:w="15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rPr>
              <w:t xml:space="preserve">58/170 (34.1%)</w:t>
            </w:r>
          </w:p>
        </w:tc>
        <w:tc>
          <w:tcPr>
            <w:tcW w:type="dxa" w:w="2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rPr>
              <w:t xml:space="preserve">Expected beard-associated choices </w:t>
            </w:r>
            <w:r>
              <w:rPr>
                <w:rFonts w:ascii="Times New Roman" w:cs="Times New Roman" w:eastAsia="SimSun" w:hAnsi="Times New Roman"/>
                <w:b w:val="false"/>
                <w:bCs w:val="false"/>
                <w:sz w:val="16"/>
                <w:szCs w:val="16"/>
                <w:highlight w:val="yellow"/>
                <w:highlightCs w:val="yellow"/>
              </w:rPr>
              <w:t xml:space="preserve">__</w:t>
            </w:r>
            <w:r>
              <w:rPr>
                <w:rFonts w:ascii="Times New Roman" w:cs="Times New Roman" w:eastAsia="SimSun" w:hAnsi="Times New Roman"/>
                <w:b w:val="false"/>
                <w:bCs w:val="false"/>
                <w:sz w:val="16"/>
                <w:szCs w:val="16"/>
              </w:rPr>
              <w:t xml:space="preserve">; exact P </w:t>
            </w:r>
            <w:r>
              <w:rPr>
                <w:rFonts w:ascii="Times New Roman" w:cs="Times New Roman" w:eastAsia="SimSun" w:hAnsi="Times New Roman"/>
                <w:b w:val="false"/>
                <w:bCs w:val="false"/>
                <w:sz w:val="16"/>
                <w:szCs w:val="16"/>
                <w:highlight w:val="yellow"/>
                <w:highlightCs w:val="yellow"/>
              </w:rPr>
              <w:t xml:space="preserve">__</w:t>
            </w:r>
          </w:p>
        </w:tc>
      </w:tr>
      <w:tr>
        <w:trPr>
          <w:cantSplit/>
        </w:trPr>
        <w:tc>
          <w:tcPr>
            <w:tcW w:type="dxa" w:w="362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rPr>
              <w:t xml:space="preserve">Most bothersome site did not meet the activity threshold, n</w:t>
            </w:r>
          </w:p>
        </w:tc>
        <w:tc>
          <w:tcPr>
            <w:tcW w:type="dxa" w:w="1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highlight w:val="yellow"/>
                <w:highlightCs w:val="yellow"/>
              </w:rPr>
              <w:t xml:space="preserve">__</w:t>
            </w:r>
          </w:p>
        </w:tc>
        <w:tc>
          <w:tcPr>
            <w:tcW w:type="dxa" w:w="15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highlight w:val="yellow"/>
                <w:highlightCs w:val="yellow"/>
              </w:rPr>
              <w:t xml:space="preserve">__</w:t>
            </w:r>
          </w:p>
        </w:tc>
        <w:tc>
          <w:tcPr>
            <w:tcW w:type="dxa" w:w="2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rPr>
              <w:t xml:space="preserve">Retained; main bother at that site (Q43-R) described below</w:t>
            </w:r>
          </w:p>
        </w:tc>
      </w:tr>
      <w:tr>
        <w:trPr>
          <w:cantSplit/>
        </w:trPr>
        <w:tc>
          <w:tcPr>
            <w:tcW w:type="dxa" w:w="362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rPr>
              <w:t xml:space="preserve">Main bother at the most bothersome site: active lesions / marks / scars, %</w:t>
            </w:r>
          </w:p>
        </w:tc>
        <w:tc>
          <w:tcPr>
            <w:tcW w:type="dxa" w:w="1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highlight w:val="yellow"/>
                <w:highlightCs w:val="yellow"/>
              </w:rPr>
              <w:t xml:space="preserve">__ / __ / __</w:t>
            </w:r>
          </w:p>
        </w:tc>
        <w:tc>
          <w:tcPr>
            <w:tcW w:type="dxa" w:w="15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highlight w:val="yellow"/>
                <w:highlightCs w:val="yellow"/>
              </w:rPr>
              <w:t xml:space="preserve">__ / __ / __</w:t>
            </w:r>
          </w:p>
        </w:tc>
        <w:tc>
          <w:tcPr>
            <w:tcW w:type="dxa" w:w="2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rPr>
              <w:t xml:space="preserve">Q43-R</w:t>
            </w:r>
          </w:p>
        </w:tc>
      </w:tr>
      <w:tr>
        <w:trPr>
          <w:cantSplit/>
        </w:trPr>
        <w:tc>
          <w:tcPr>
            <w:tcW w:type="dxa" w:w="362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rPr>
              <w:t xml:space="preserve">Most important goal "persistent or recurrent lesions", located at site region, n</w:t>
            </w:r>
          </w:p>
        </w:tc>
        <w:tc>
          <w:tcPr>
            <w:tcW w:type="dxa" w:w="1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rPr>
              <w:t xml:space="preserve">84/126</w:t>
            </w:r>
          </w:p>
        </w:tc>
        <w:tc>
          <w:tcPr>
            <w:tcW w:type="dxa" w:w="15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rPr>
              <w:t xml:space="preserve">42/126</w:t>
            </w:r>
          </w:p>
        </w:tc>
        <w:tc>
          <w:tcPr>
            <w:tcW w:type="dxa" w:w="2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rPr>
              <w:t xml:space="preserve">N7; fictional</w:t>
            </w:r>
          </w:p>
        </w:tc>
      </w:tr>
      <w:tr>
        <w:trPr>
          <w:cantSplit/>
        </w:trPr>
        <w:tc>
          <w:tcPr>
            <w:tcW w:type="dxa" w:w="362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rPr>
              <w:t xml:space="preserve">Current nodules or cysts at examination, % of participants</w:t>
            </w:r>
          </w:p>
        </w:tc>
        <w:tc>
          <w:tcPr>
            <w:tcW w:type="dxa" w:w="1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highlight w:val="yellow"/>
                <w:highlightCs w:val="yellow"/>
              </w:rPr>
              <w:t xml:space="preserve">__</w:t>
            </w:r>
          </w:p>
        </w:tc>
        <w:tc>
          <w:tcPr>
            <w:tcW w:type="dxa" w:w="15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highlight w:val="yellow"/>
                <w:highlightCs w:val="yellow"/>
              </w:rPr>
              <w:t xml:space="preserve">__</w:t>
            </w:r>
          </w:p>
        </w:tc>
        <w:tc>
          <w:tcPr>
            <w:tcW w:type="dxa" w:w="2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rPr>
              <w:t xml:space="preserve">C1-L; descriptive</w:t>
            </w:r>
          </w:p>
        </w:tc>
      </w:tr>
      <w:tr>
        <w:trPr>
          <w:cantSplit/>
        </w:trPr>
        <w:tc>
          <w:tcPr>
            <w:tcW w:type="dxa" w:w="3626"/>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rPr>
              <w:t xml:space="preserve">Site-specific premenstrual aggravation among women with premenstrual aggravation, %</w:t>
            </w:r>
          </w:p>
        </w:tc>
        <w:tc>
          <w:tcPr>
            <w:tcW w:type="dxa" w:w="17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highlight w:val="yellow"/>
                <w:highlightCs w:val="yellow"/>
              </w:rPr>
              <w:t xml:space="preserve">__</w:t>
            </w:r>
          </w:p>
        </w:tc>
        <w:tc>
          <w:tcPr>
            <w:tcW w:type="dxa" w:w="15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highlight w:val="yellow"/>
                <w:highlightCs w:val="yellow"/>
              </w:rPr>
              <w:t xml:space="preserve">__</w:t>
            </w:r>
          </w:p>
        </w:tc>
        <w:tc>
          <w:tcPr>
            <w:tcW w:type="dxa" w:w="22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rPr>
              <w:t xml:space="preserve">N4; same self-report source as the correlate</w:t>
            </w:r>
          </w:p>
        </w:tc>
      </w:tr>
    </w:tbl>
    <w:p>
      <w:pPr>
        <w:spacing w:after="160" w:before="0" w:line="276" w:lineRule="auto"/>
        <w:jc w:val="left"/>
      </w:pPr>
    </w:p>
    <w:p>
      <w:pPr>
        <w:keepNext/>
        <w:spacing w:after="60" w:before="0" w:line="276" w:lineRule="auto"/>
        <w:jc w:val="left"/>
      </w:pPr>
      <w:r>
        <w:rPr>
          <w:rFonts w:ascii="Times New Roman" w:cs="Times New Roman" w:eastAsia="SimSun" w:hAnsi="Times New Roman"/>
          <w:b/>
          <w:bCs/>
          <w:sz w:val="22"/>
          <w:szCs w:val="22"/>
        </w:rPr>
        <w:t xml:space="preserve">Supplementary Table S6.</w:t>
      </w:r>
      <w:r>
        <w:rPr>
          <w:rFonts w:ascii="Times New Roman" w:cs="Times New Roman" w:eastAsia="SimSun" w:hAnsi="Times New Roman"/>
          <w:sz w:val="22"/>
          <w:szCs w:val="22"/>
        </w:rPr>
        <w:t xml:space="preserve"> Auxiliary sebum and sweat factors</w:t>
      </w:r>
    </w:p>
    <w:p>
      <w:pPr>
        <w:spacing w:after="60" w:before="0" w:line="240" w:lineRule="auto"/>
        <w:jc w:val="left"/>
      </w:pPr>
      <w:r>
        <w:rPr>
          <w:rFonts w:ascii="Times New Roman" w:cs="Times New Roman" w:eastAsia="SimSun" w:hAnsi="Times New Roman"/>
          <w:sz w:val="18"/>
          <w:szCs w:val="18"/>
        </w:rPr>
        <w:t xml:space="preserve">Reported descriptively; not part of the phenotype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000"/>
        <w:gridCol w:w="2000"/>
        <w:gridCol w:w="2200"/>
      </w:tblGrid>
      <w:tr>
        <w:trPr>
          <w:tblHeader/>
        </w:trPr>
        <w:tc>
          <w:tcPr>
            <w:tcW w:type="dxa" w:w="2826"/>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left"/>
            </w:pPr>
            <w:r>
              <w:rPr>
                <w:rFonts w:ascii="Times New Roman" w:cs="Times New Roman" w:eastAsia="SimSun" w:hAnsi="Times New Roman"/>
                <w:b/>
                <w:bCs/>
                <w:sz w:val="18"/>
                <w:szCs w:val="18"/>
              </w:rPr>
              <w:t xml:space="preserve">Factor</w:t>
            </w:r>
          </w:p>
        </w:tc>
        <w:tc>
          <w:tcPr>
            <w:tcW w:type="dxa" w:w="20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center"/>
            </w:pPr>
            <w:r>
              <w:rPr>
                <w:rFonts w:ascii="Times New Roman" w:cs="Times New Roman" w:eastAsia="SimSun" w:hAnsi="Times New Roman"/>
                <w:b/>
                <w:bCs/>
                <w:sz w:val="18"/>
                <w:szCs w:val="18"/>
              </w:rPr>
              <w:t xml:space="preserve">Region OR,</w:t>
            </w:r>
          </w:p>
          <w:p>
            <w:pPr>
              <w:spacing w:after="0" w:line="240"/>
              <w:jc w:val="center"/>
            </w:pPr>
            <w:r>
              <w:rPr>
                <w:rFonts w:ascii="Times New Roman" w:cs="Times New Roman" w:eastAsia="SimSun" w:hAnsi="Times New Roman"/>
                <w:b/>
                <w:bCs/>
                <w:sz w:val="18"/>
                <w:szCs w:val="18"/>
              </w:rPr>
              <w:t xml:space="preserve">beard-associated</w:t>
            </w:r>
          </w:p>
        </w:tc>
        <w:tc>
          <w:tcPr>
            <w:tcW w:type="dxa" w:w="20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center"/>
            </w:pPr>
            <w:r>
              <w:rPr>
                <w:rFonts w:ascii="Times New Roman" w:cs="Times New Roman" w:eastAsia="SimSun" w:hAnsi="Times New Roman"/>
                <w:b/>
                <w:bCs/>
                <w:sz w:val="18"/>
                <w:szCs w:val="18"/>
              </w:rPr>
              <w:t xml:space="preserve">Region OR,</w:t>
            </w:r>
          </w:p>
          <w:p>
            <w:pPr>
              <w:spacing w:after="0" w:line="240"/>
              <w:jc w:val="center"/>
            </w:pPr>
            <w:r>
              <w:rPr>
                <w:rFonts w:ascii="Times New Roman" w:cs="Times New Roman" w:eastAsia="SimSun" w:hAnsi="Times New Roman"/>
                <w:b/>
                <w:bCs/>
                <w:sz w:val="18"/>
                <w:szCs w:val="18"/>
              </w:rPr>
              <w:t xml:space="preserve">other</w:t>
            </w:r>
          </w:p>
        </w:tc>
        <w:tc>
          <w:tcPr>
            <w:tcW w:type="dxa" w:w="22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center"/>
            </w:pPr>
            <w:r>
              <w:rPr>
                <w:rFonts w:ascii="Times New Roman" w:cs="Times New Roman" w:eastAsia="SimSun" w:hAnsi="Times New Roman"/>
                <w:b/>
                <w:bCs/>
                <w:sz w:val="18"/>
                <w:szCs w:val="18"/>
              </w:rPr>
              <w:t xml:space="preserve">ROR (95% CI)</w:t>
            </w:r>
          </w:p>
        </w:tc>
      </w:tr>
      <w:tr>
        <w:trPr>
          <w:cantSplit/>
        </w:trPr>
        <w:tc>
          <w:tcPr>
            <w:tcW w:type="dxa" w:w="282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8"/>
                <w:szCs w:val="18"/>
              </w:rPr>
              <w:t xml:space="preserve">Self-reported oily skin</w:t>
            </w:r>
          </w:p>
        </w:tc>
        <w:tc>
          <w:tcPr>
            <w:tcW w:type="dxa" w:w="20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8"/>
                <w:szCs w:val="18"/>
              </w:rPr>
              <w:t xml:space="preserve">1.67</w:t>
            </w:r>
          </w:p>
        </w:tc>
        <w:tc>
          <w:tcPr>
            <w:tcW w:type="dxa" w:w="20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8"/>
                <w:szCs w:val="18"/>
              </w:rPr>
              <w:t xml:space="preserve">2.52</w:t>
            </w:r>
          </w:p>
        </w:tc>
        <w:tc>
          <w:tcPr>
            <w:tcW w:type="dxa" w:w="2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8"/>
                <w:szCs w:val="18"/>
              </w:rPr>
              <w:t xml:space="preserve">0.66 (0.50–0.87)</w:t>
            </w:r>
          </w:p>
        </w:tc>
      </w:tr>
      <w:tr>
        <w:trPr>
          <w:cantSplit/>
        </w:trPr>
        <w:tc>
          <w:tcPr>
            <w:tcW w:type="dxa" w:w="2826"/>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8"/>
                <w:szCs w:val="18"/>
              </w:rPr>
              <w:t xml:space="preserve">Heavy sweating</w:t>
            </w:r>
          </w:p>
        </w:tc>
        <w:tc>
          <w:tcPr>
            <w:tcW w:type="dxa" w:w="20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8"/>
                <w:szCs w:val="18"/>
                <w:highlight w:val="yellow"/>
                <w:highlightCs w:val="yellow"/>
              </w:rPr>
              <w:t xml:space="preserve">__</w:t>
            </w:r>
          </w:p>
        </w:tc>
        <w:tc>
          <w:tcPr>
            <w:tcW w:type="dxa" w:w="20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8"/>
                <w:szCs w:val="18"/>
                <w:highlight w:val="yellow"/>
                <w:highlightCs w:val="yellow"/>
              </w:rPr>
              <w:t xml:space="preserve">__</w:t>
            </w:r>
          </w:p>
        </w:tc>
        <w:tc>
          <w:tcPr>
            <w:tcW w:type="dxa" w:w="22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8"/>
                <w:szCs w:val="18"/>
                <w:highlight w:val="yellow"/>
                <w:highlightCs w:val="yellow"/>
              </w:rPr>
              <w:t xml:space="preserve">__ (__–__)</w:t>
            </w:r>
          </w:p>
        </w:tc>
      </w:tr>
    </w:tbl>
    <w:p>
      <w:pPr>
        <w:spacing w:after="60" w:before="0" w:line="240" w:lineRule="auto"/>
        <w:jc w:val="left"/>
      </w:pPr>
      <w:r>
        <w:rPr>
          <w:rFonts w:ascii="Times New Roman" w:cs="Times New Roman" w:eastAsia="SimSun" w:hAnsi="Times New Roman"/>
          <w:sz w:val="18"/>
          <w:szCs w:val="18"/>
        </w:rPr>
        <w:t xml:space="preserve">Oily skin values are fictional; heavy sweating to be filled. Sebum production is itself androgen dependent, so oiliness is not independent of the hormonal axis.</w:t>
      </w:r>
    </w:p>
    <w:p>
      <w:pPr>
        <w:spacing w:after="160" w:before="0" w:line="276" w:lineRule="auto"/>
        <w:jc w:val="left"/>
      </w:pPr>
    </w:p>
    <w:p>
      <w:pPr>
        <w:keepNext/>
        <w:spacing w:after="60" w:before="0" w:line="276" w:lineRule="auto"/>
        <w:jc w:val="left"/>
      </w:pPr>
      <w:r>
        <w:rPr>
          <w:rFonts w:ascii="Times New Roman" w:cs="Times New Roman" w:eastAsia="SimSun" w:hAnsi="Times New Roman"/>
          <w:b/>
          <w:bCs/>
          <w:sz w:val="22"/>
          <w:szCs w:val="22"/>
        </w:rPr>
        <w:t xml:space="preserve">Supplementary Table S7.</w:t>
      </w:r>
      <w:r>
        <w:rPr>
          <w:rFonts w:ascii="Times New Roman" w:cs="Times New Roman" w:eastAsia="SimSun" w:hAnsi="Times New Roman"/>
          <w:sz w:val="22"/>
          <w:szCs w:val="22"/>
        </w:rPr>
        <w:t xml:space="preserve"> Exploratory factors</w:t>
      </w:r>
    </w:p>
    <w:p>
      <w:pPr>
        <w:spacing w:after="60" w:before="0" w:line="240" w:lineRule="auto"/>
        <w:jc w:val="left"/>
      </w:pPr>
      <w:r>
        <w:rPr>
          <w:rFonts w:ascii="Times New Roman" w:cs="Times New Roman" w:eastAsia="SimSun" w:hAnsi="Times New Roman"/>
          <w:sz w:val="18"/>
          <w:szCs w:val="18"/>
        </w:rPr>
        <w:t xml:space="preserve">No prespecified direction; nominal P values. Fictional values where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2700"/>
        <w:gridCol w:w="1900"/>
        <w:gridCol w:w="1200"/>
      </w:tblGrid>
      <w:tr>
        <w:trPr>
          <w:tblHeader/>
        </w:trPr>
        <w:tc>
          <w:tcPr>
            <w:tcW w:type="dxa" w:w="3226"/>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left"/>
            </w:pPr>
            <w:r>
              <w:rPr>
                <w:rFonts w:ascii="Times New Roman" w:cs="Times New Roman" w:eastAsia="SimSun" w:hAnsi="Times New Roman"/>
                <w:b/>
                <w:bCs/>
                <w:sz w:val="17"/>
                <w:szCs w:val="17"/>
              </w:rPr>
              <w:t xml:space="preserve">Factor</w:t>
            </w:r>
          </w:p>
        </w:tc>
        <w:tc>
          <w:tcPr>
            <w:tcW w:type="dxa" w:w="27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left"/>
            </w:pPr>
            <w:r>
              <w:rPr>
                <w:rFonts w:ascii="Times New Roman" w:cs="Times New Roman" w:eastAsia="SimSun" w:hAnsi="Times New Roman"/>
                <w:b/>
                <w:bCs/>
                <w:sz w:val="17"/>
                <w:szCs w:val="17"/>
              </w:rPr>
              <w:t xml:space="preserve">Outcome</w:t>
            </w:r>
          </w:p>
        </w:tc>
        <w:tc>
          <w:tcPr>
            <w:tcW w:type="dxa" w:w="19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left"/>
            </w:pPr>
            <w:r>
              <w:rPr>
                <w:rFonts w:ascii="Times New Roman" w:cs="Times New Roman" w:eastAsia="SimSun" w:hAnsi="Times New Roman"/>
                <w:b/>
                <w:bCs/>
                <w:sz w:val="17"/>
                <w:szCs w:val="17"/>
              </w:rPr>
              <w:t xml:space="preserve">Estimate (95% CI)</w:t>
            </w:r>
          </w:p>
        </w:tc>
        <w:tc>
          <w:tcPr>
            <w:tcW w:type="dxa" w:w="12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left"/>
            </w:pPr>
            <w:r>
              <w:rPr>
                <w:rFonts w:ascii="Times New Roman" w:cs="Times New Roman" w:eastAsia="SimSun" w:hAnsi="Times New Roman"/>
                <w:b/>
                <w:bCs/>
                <w:sz w:val="17"/>
                <w:szCs w:val="17"/>
              </w:rPr>
              <w:t xml:space="preserve">P</w:t>
            </w:r>
          </w:p>
        </w:tc>
      </w:tr>
      <w:tr>
        <w:trPr>
          <w:cantSplit/>
        </w:trPr>
        <w:tc>
          <w:tcPr>
            <w:tcW w:type="dxa" w:w="322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Smoking ≥1/day for ≥1 y</w:t>
            </w:r>
          </w:p>
        </w:tc>
        <w:tc>
          <w:tcPr>
            <w:tcW w:type="dxa" w:w="2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Activity, ROR</w:t>
            </w:r>
          </w:p>
        </w:tc>
        <w:tc>
          <w:tcPr>
            <w:tcW w:type="dxa" w:w="19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1.86 (1.05–3.28)</w:t>
            </w:r>
          </w:p>
        </w:tc>
        <w:tc>
          <w:tcPr>
            <w:tcW w:type="dxa" w:w="1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.032</w:t>
            </w:r>
          </w:p>
        </w:tc>
      </w:tr>
      <w:tr>
        <w:trPr>
          <w:cantSplit/>
        </w:trPr>
        <w:tc>
          <w:tcPr>
            <w:tcW w:type="dxa" w:w="322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bCs/>
                <w:sz w:val="17"/>
                <w:szCs w:val="17"/>
              </w:rPr>
              <w:t xml:space="preserve">Smoking ≥1/day for ≥1 y</w:t>
            </w:r>
          </w:p>
        </w:tc>
        <w:tc>
          <w:tcPr>
            <w:tcW w:type="dxa" w:w="2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bCs/>
                <w:sz w:val="17"/>
                <w:szCs w:val="17"/>
              </w:rPr>
              <w:t xml:space="preserve">Jawline grade III–IV activity, OR</w:t>
            </w:r>
          </w:p>
        </w:tc>
        <w:tc>
          <w:tcPr>
            <w:tcW w:type="dxa" w:w="19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highlight w:val="yellow"/>
                <w:highlightCs w:val="yellow"/>
              </w:rPr>
              <w:t xml:space="preserve">__ (__–__)</w:t>
            </w:r>
          </w:p>
        </w:tc>
        <w:tc>
          <w:tcPr>
            <w:tcW w:type="dxa" w:w="1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highlight w:val="yellow"/>
                <w:highlightCs w:val="yellow"/>
              </w:rPr>
              <w:t xml:space="preserve">__</w:t>
            </w:r>
          </w:p>
        </w:tc>
      </w:tr>
      <w:tr>
        <w:trPr>
          <w:cantSplit/>
        </w:trPr>
        <w:tc>
          <w:tcPr>
            <w:tcW w:type="dxa" w:w="322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Irregular sleep schedule</w:t>
            </w:r>
          </w:p>
        </w:tc>
        <w:tc>
          <w:tcPr>
            <w:tcW w:type="dxa" w:w="2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Activity, ROR</w:t>
            </w:r>
          </w:p>
        </w:tc>
        <w:tc>
          <w:tcPr>
            <w:tcW w:type="dxa" w:w="19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1.68 (1.18–2.40)</w:t>
            </w:r>
          </w:p>
        </w:tc>
        <w:tc>
          <w:tcPr>
            <w:tcW w:type="dxa" w:w="1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.004</w:t>
            </w:r>
          </w:p>
        </w:tc>
      </w:tr>
      <w:tr>
        <w:trPr>
          <w:cantSplit/>
        </w:trPr>
        <w:tc>
          <w:tcPr>
            <w:tcW w:type="dxa" w:w="322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PHQ-4, per point</w:t>
            </w:r>
          </w:p>
        </w:tc>
        <w:tc>
          <w:tcPr>
            <w:tcW w:type="dxa" w:w="2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Activity, ROR</w:t>
            </w:r>
          </w:p>
        </w:tc>
        <w:tc>
          <w:tcPr>
            <w:tcW w:type="dxa" w:w="19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1.10 (1.04–1.16)</w:t>
            </w:r>
          </w:p>
        </w:tc>
        <w:tc>
          <w:tcPr>
            <w:tcW w:type="dxa" w:w="1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.001</w:t>
            </w:r>
          </w:p>
        </w:tc>
      </w:tr>
      <w:tr>
        <w:trPr>
          <w:cantSplit/>
        </w:trPr>
        <w:tc>
          <w:tcPr>
            <w:tcW w:type="dxa" w:w="322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Menstrual irregularity (women)</w:t>
            </w:r>
          </w:p>
        </w:tc>
        <w:tc>
          <w:tcPr>
            <w:tcW w:type="dxa" w:w="2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Activity, ROR</w:t>
            </w:r>
          </w:p>
        </w:tc>
        <w:tc>
          <w:tcPr>
            <w:tcW w:type="dxa" w:w="19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highlight w:val="yellow"/>
                <w:highlightCs w:val="yellow"/>
              </w:rPr>
              <w:t xml:space="preserve">__ (__–__)</w:t>
            </w:r>
          </w:p>
        </w:tc>
        <w:tc>
          <w:tcPr>
            <w:tcW w:type="dxa" w:w="12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highlight w:val="yellow"/>
                <w:highlightCs w:val="yellow"/>
              </w:rPr>
              <w:t xml:space="preserve">__</w:t>
            </w:r>
          </w:p>
        </w:tc>
      </w:tr>
      <w:tr>
        <w:trPr>
          <w:cantSplit/>
        </w:trPr>
        <w:tc>
          <w:tcPr>
            <w:tcW w:type="dxa" w:w="3226"/>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Self-reported physician-diagnosed PCOS (women)</w:t>
            </w:r>
          </w:p>
        </w:tc>
        <w:tc>
          <w:tcPr>
            <w:tcW w:type="dxa" w:w="27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rPr>
              <w:t xml:space="preserve">Activity, ROR</w:t>
            </w:r>
          </w:p>
        </w:tc>
        <w:tc>
          <w:tcPr>
            <w:tcW w:type="dxa" w:w="19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highlight w:val="yellow"/>
                <w:highlightCs w:val="yellow"/>
              </w:rPr>
              <w:t xml:space="preserve">__ (__–__)</w:t>
            </w:r>
          </w:p>
        </w:tc>
        <w:tc>
          <w:tcPr>
            <w:tcW w:type="dxa" w:w="12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7"/>
                <w:szCs w:val="17"/>
                <w:highlight w:val="yellow"/>
                <w:highlightCs w:val="yellow"/>
              </w:rPr>
              <w:t xml:space="preserve">__</w:t>
            </w:r>
          </w:p>
        </w:tc>
      </w:tr>
    </w:tbl>
    <w:p>
      <w:pPr>
        <w:spacing w:after="60" w:before="0" w:line="240" w:lineRule="auto"/>
        <w:jc w:val="left"/>
      </w:pPr>
      <w:r>
        <w:rPr>
          <w:rFonts w:ascii="Times New Roman" w:cs="Times New Roman" w:eastAsia="SimSun" w:hAnsi="Times New Roman"/>
          <w:sz w:val="18"/>
          <w:szCs w:val="18"/>
        </w:rPr>
        <w:t xml:space="preserve">The smoking–jawline analysis tests a clinical observation of pustular jawline acne in long-term smokers; it is adjusted for age group, sex, and BMI. Shaving was not recorded, so in men smoking may be partly confounded by shaving-related lesions. PCOS, polycystic ovary syndrome; PHQ-4, Patient Health Questionnaire-4.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SimSu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SimSun" w:hAnsi="Times New Roman"/>
        <w:b/>
        <w:bCs/>
        <w:color w:val="C00000"/>
        <w:sz w:val="16"/>
        <w:szCs w:val="16"/>
      </w:rPr>
      <w:t xml:space="preserve">SIMULATED DEMONSTRATION · FICTIONAL DATA · NOT FOR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SimSu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661625790fbf59cc0ef9e392d159916901889a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2026-10-11T07:25:20.828Z</dcterms:created>
  <dcterms:modified xsi:type="dcterms:W3CDTF">2026-10-11T07:25:20.829Z</dcterms:modified>
</cp:coreProperties>
</file>

<file path=docProps/custom.xml><?xml version="1.0" encoding="utf-8"?>
<Properties xmlns="http://schemas.openxmlformats.org/officeDocument/2006/custom-properties" xmlns:vt="http://schemas.openxmlformats.org/officeDocument/2006/docPropsVTypes"/>
</file>