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C00000" w:sz="8" w:space="4"/>
          <w:bottom w:val="single" w:color="C00000" w:sz="8" w:space="4"/>
          <w:left w:val="single" w:color="C00000" w:sz="8" w:space="4"/>
          <w:right w:val="single" w:color="C00000" w:sz="8" w:space="4"/>
        </w:pBdr>
        <w:shd w:fill="FFF2F2" w:color="auto" w:val="clear"/>
        <w:spacing w:after="200" w:before="0" w:line="276" w:lineRule="auto"/>
        <w:jc w:val="left"/>
      </w:pPr>
      <w:r>
        <w:rPr>
          <w:rFonts w:ascii="Times New Roman" w:cs="Times New Roman" w:eastAsia="SimSun" w:hAnsi="Times New Roman"/>
          <w:sz w:val="20"/>
          <w:szCs w:val="20"/>
        </w:rPr>
        <w:t xml:space="preserve">v11 配套说明：在 v10 单向版基础上，按外部审阅意见改为"区域表型"证据链。问卷不改动；图表按 JAAD 规则改为 2 项。</w:t>
      </w:r>
    </w:p>
    <w:p>
      <w:pPr>
        <w:spacing w:after="240" w:before="0" w:line="276" w:lineRule="auto"/>
        <w:jc w:val="center"/>
      </w:pPr>
      <w:r>
        <w:rPr>
          <w:rFonts w:ascii="Times New Roman" w:cs="Times New Roman" w:eastAsia="SimSun" w:hAnsi="Times New Roman"/>
          <w:b/>
          <w:bCs/>
          <w:sz w:val="32"/>
          <w:szCs w:val="32"/>
        </w:rPr>
        <w:t xml:space="preserve">表型证据链说明（v11）</w:t>
      </w:r>
    </w:p>
    <w:p>
      <w:pPr>
        <w:keepNext/>
        <w:spacing w:after="120" w:before="240" w:line="276" w:lineRule="auto"/>
        <w:jc w:val="left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一、核心问题</w:t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人中、下巴、下颌缘的跨月活动，是否构成一种区域表型：三个部位关联方向一致（相容），与脸的其他部位不同（区别），并且是患者最在意的地方（临床相关）。题目改为问句："Is Persistent Acne at the Upper Lip, Chin, and Jawline a Distinct Regional Phenotype?"，保留被数据否定的可能。</w:t>
      </w:r>
    </w:p>
    <w:p>
      <w:pPr>
        <w:keepNext/>
        <w:spacing w:after="120" w:before="240" w:line="276" w:lineRule="auto"/>
        <w:jc w:val="left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二、三步证据链与预设判定标准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600"/>
        <w:gridCol w:w="2526"/>
      </w:tblGrid>
      <w:tr>
        <w:trPr>
          <w:tblHeader/>
        </w:trPr>
        <w:tc>
          <w:tcPr>
            <w:tcW w:type="dxa" w:w="14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步骤</w:t>
            </w:r>
          </w:p>
        </w:tc>
        <w:tc>
          <w:tcPr>
            <w:tcW w:type="dxa" w:w="25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回答的问题</w:t>
            </w:r>
          </w:p>
        </w:tc>
        <w:tc>
          <w:tcPr>
            <w:tcW w:type="dxa" w:w="26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证据</w:t>
            </w:r>
          </w:p>
        </w:tc>
        <w:tc>
          <w:tcPr>
            <w:tcW w:type="dxa" w:w="25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判定"支持"的标准（预设）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1 相容性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三个部位为什么能放在一起？会不会只是下巴在带动？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表 I 逐部位 OR；补充表 S2 去掉每个组成部位后的区域对比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4 个线索中至少 3 个在三个部位的 OR 都 &gt;1，且去掉下巴后 ROR 仍 &gt;1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2 区别性（主要）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同一线索在面下部的关联是否强于其他部位？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图 1；ROR（同人内对比，调整全脸分级）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至少 3 个 ROR &gt;1 且 BH 校正后 P &lt;.05，III–IV 级验证方向一致</w:t>
            </w:r>
          </w:p>
        </w:tc>
      </w:tr>
      <w:tr>
        <w:trPr>
          <w:cantSplit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3 临床相关性</w:t>
            </w:r>
          </w:p>
        </w:tc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这种划分对医生和患者有什么用？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最困扰部位 vs 期望值；Q43-R、N7、C1-L、N4 描述</w:t>
            </w:r>
          </w:p>
        </w:tc>
        <w:tc>
          <w:tcPr>
            <w:tcW w:type="dxa" w:w="25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最困扰部位落在面下部的次数超过期望（P &lt;.05）</w:t>
            </w:r>
          </w:p>
        </w:tc>
      </w:tr>
    </w:tbl>
    <w:p>
      <w:pPr>
        <w:spacing w:after="100" w:before="0" w:line="300" w:lineRule="auto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三步都满足才使用"区域表型"的说法；满足两步写"部分支持"并点明未满足的一步。判定标准写在补充表 S1，分析前冻结。标准中的"至少 3 个"是我的建议值，可以在冻结前调整，但冻结后不能改。</w:t>
      </w:r>
    </w:p>
    <w:p>
      <w:pPr>
        <w:keepNext/>
        <w:spacing w:after="120" w:before="240" w:line="276" w:lineRule="auto"/>
        <w:jc w:val="left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三、本轮采纳的审阅意见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700"/>
        <w:gridCol w:w="4326"/>
      </w:tblGrid>
      <w:tr>
        <w:trPr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7"/>
                <w:szCs w:val="17"/>
              </w:rPr>
              <w:t xml:space="preserve">审阅意见</w:t>
            </w:r>
          </w:p>
        </w:tc>
        <w:tc>
          <w:tcPr>
            <w:tcW w:type="dxa" w:w="17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7"/>
                <w:szCs w:val="17"/>
              </w:rPr>
              <w:t xml:space="preserve">处理</w:t>
            </w:r>
          </w:p>
        </w:tc>
        <w:tc>
          <w:tcPr>
            <w:tcW w:type="dxa" w:w="43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7"/>
                <w:szCs w:val="17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从"四个因素相关"提升为"检验区域表型"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采纳</w:t>
            </w:r>
          </w:p>
        </w:tc>
        <w:tc>
          <w:tcPr>
            <w:tcW w:type="dxa" w:w="43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题目、首段、方法、结论全部按三步证据链重写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人中不能只是跟着下巴"搭车"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采纳</w:t>
            </w:r>
          </w:p>
        </w:tc>
        <w:tc>
          <w:tcPr>
            <w:tcW w:type="dxa" w:w="43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表 I 逐部位展示；新增去掉下巴的区域对比，写进正文和判定标准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保留 C1-L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采纳（用途收窄）</w:t>
            </w:r>
          </w:p>
        </w:tc>
        <w:tc>
          <w:tcPr>
            <w:tcW w:type="dxa" w:w="43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用于描述当前局部形态和鉴别诊断，不作结局，不用来"验证回忆"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用好 N4、Q41、Q43、N7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采纳</w:t>
            </w:r>
          </w:p>
        </w:tc>
        <w:tc>
          <w:tcPr>
            <w:tcW w:type="dxa" w:w="43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放在补充表 S5；N4 与经前加重同为自报，注明不能互相验证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保留最困扰部位未达活动门槛的患者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采纳</w:t>
            </w:r>
          </w:p>
        </w:tc>
        <w:tc>
          <w:tcPr>
            <w:tcW w:type="dxa" w:w="43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检验仍在受累部位中做，未达门槛者单独描述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四个因素写成临床线索，不写成激素/代谢测量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采纳</w:t>
            </w:r>
          </w:p>
        </w:tc>
        <w:tc>
          <w:tcPr>
            <w:tcW w:type="dxa" w:w="43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正文用"clinical correlates"；补充材料逐一说明各自含义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五处过度表述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采纳</w:t>
            </w:r>
          </w:p>
        </w:tc>
        <w:tc>
          <w:tcPr>
            <w:tcW w:type="dxa" w:w="43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见第四节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FASCE 已报告下颌区 AFAST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已核实，采纳</w:t>
            </w:r>
          </w:p>
        </w:tc>
        <w:tc>
          <w:tcPr>
            <w:tcW w:type="dxa" w:w="43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FASCE（Acta Derm Venereol 2024）分别报告全脸和下颌区 AFAST 评分变化；首段改为"已有区域评分并用于螺内酯试验"，SAFA 移入补充材料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JAAD 多面板图按面板计数</w:t>
            </w:r>
          </w:p>
        </w:tc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已核实，采纳</w:t>
            </w:r>
          </w:p>
        </w:tc>
        <w:tc>
          <w:tcPr>
            <w:tcW w:type="dxa" w:w="43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官方说明：Research Letter 图表合计 2 项，多部分图每部分单独计数。v10 的图 1A+1B+表 I 计 3 项，超限；v11 改为单面板图 1 + 表 I，面部示意图移入补充图 S1</w:t>
            </w:r>
          </w:p>
        </w:tc>
      </w:tr>
    </w:tbl>
    <w:p>
      <w:pPr>
        <w:keepNext/>
        <w:spacing w:after="120" w:before="240" w:line="276" w:lineRule="auto"/>
        <w:jc w:val="left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四、修正的过度表述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00"/>
        <w:gridCol w:w="3326"/>
      </w:tblGrid>
      <w:tr>
        <w:trPr>
          <w:tblHeader/>
        </w:trPr>
        <w:tc>
          <w:tcPr>
            <w:tcW w:type="dxa" w:w="28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7"/>
                <w:szCs w:val="17"/>
              </w:rPr>
              <w:t xml:space="preserve">原写法</w:t>
            </w:r>
          </w:p>
        </w:tc>
        <w:tc>
          <w:tcPr>
            <w:tcW w:type="dxa" w:w="2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7"/>
                <w:szCs w:val="17"/>
              </w:rPr>
              <w:t xml:space="preserve">问题</w:t>
            </w:r>
          </w:p>
        </w:tc>
        <w:tc>
          <w:tcPr>
            <w:tcW w:type="dxa" w:w="33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7"/>
                <w:szCs w:val="17"/>
              </w:rPr>
              <w:t xml:space="preserve">现写法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同人内对比"排除"全脸共同因素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只对各部位作用相同的混杂成立，且依赖模型假设</w:t>
            </w:r>
          </w:p>
        </w:tc>
        <w:tc>
          <w:tcPr>
            <w:tcW w:type="dxa" w:w="33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"不受各部位作用相同的混杂影响"；区域性混杂、半年累计负担的残余混杂未被排除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调整全脸分级即排除"只是痘更重"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当前全脸分级是单次就诊，不等于半年负担</w:t>
            </w:r>
          </w:p>
        </w:tc>
        <w:tc>
          <w:tcPr>
            <w:tcW w:type="dxa" w:w="33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"调整当前全脸分级后关联仍在"，不说已排除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III–IV 级称为"深部皮损"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III 级是脓疱</w:t>
            </w:r>
          </w:p>
        </w:tc>
        <w:tc>
          <w:tcPr>
            <w:tcW w:type="dxa" w:w="33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"脓疱或结节/囊肿"；并注明是回忆中出现过的最高类型，不是最常见类型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18–25 岁不同 → 成年后起病；调整出油后减弱 → 皮脂为中介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横断面问卷无法推断起病时间或中介</w:t>
            </w:r>
          </w:p>
        </w:tc>
        <w:tc>
          <w:tcPr>
            <w:tcW w:type="dxa" w:w="33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前者解释为"样本内的年龄效应修饰"，后者为"与局部出油有重叠"</w:t>
            </w:r>
          </w:p>
        </w:tc>
      </w:tr>
      <w:tr>
        <w:trPr>
          <w:cantSplit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"高发作频率"</w:t>
            </w:r>
          </w:p>
        </w:tc>
        <w:tc>
          <w:tcPr>
            <w:tcW w:type="dxa" w:w="2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6 个月中 3 个月是活动门槛，不是频率</w:t>
            </w:r>
          </w:p>
        </w:tc>
        <w:tc>
          <w:tcPr>
            <w:tcW w:type="dxa" w:w="33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7"/>
                <w:szCs w:val="17"/>
              </w:rPr>
              <w:t xml:space="preserve">统一写"持续或反复受累"</w:t>
            </w:r>
          </w:p>
        </w:tc>
      </w:tr>
    </w:tbl>
    <w:p>
      <w:pPr>
        <w:keepNext/>
        <w:spacing w:after="120" w:before="240" w:line="276" w:lineRule="auto"/>
        <w:jc w:val="left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五、问卷各题在证据链中的位置（问卷无需改动）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证据链环节</w:t>
            </w:r>
          </w:p>
        </w:tc>
        <w:tc>
          <w:tcPr>
            <w:tcW w:type="dxa" w:w="60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shd w:fill="F2F2F2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/>
                <w:bCs/>
                <w:sz w:val="18"/>
                <w:szCs w:val="18"/>
              </w:rPr>
              <w:t xml:space="preserve">问卷题目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结局：部位活动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N1（七部位，6 个月中至少 3 个月）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皮损形态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Q10-R（回忆最高类型）、C1-L（当前局部，医生）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严重度调整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C1（当前全脸分级，医生）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四个临床线索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Q5 年龄、Q32-R 经前加重、Q6/Q7 BMI、Q25 高 GI 食品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相容性与区别性的补充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N2 部位出油（敏感性分析）、N4 分部位经前加重（描述）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临床相关性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Q40-R 是否有困扰、Q41-R 最困扰部位、Q43-R 困扰类型、N7 改善诉求及部位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替代解释与鉴别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BFBFBF" w:sz="2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C2 鉴别诊断标记、Q21/Q22 口罩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附加与探索</w:t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SimSun" w:hAnsi="Times New Roman"/>
                <w:b w:val="false"/>
                <w:bCs w:val="false"/>
                <w:sz w:val="18"/>
                <w:szCs w:val="18"/>
              </w:rPr>
              <w:t xml:space="preserve">Q16 出油、Q29 出汗、Q28 吸烟、Q34 作息、P1–P4 PHQ-4、Q30-R/N3 月经、Q31-R PCOS</w:t>
            </w:r>
          </w:p>
        </w:tc>
      </w:tr>
    </w:tbl>
    <w:p>
      <w:pPr>
        <w:keepNext/>
        <w:spacing w:after="120" w:before="240" w:line="276" w:lineRule="auto"/>
        <w:jc w:val="left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六、需要你确认的三件事</w:t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1. 判定标准中的阈值（"4 个中至少 3 个"等）是否接受；冻结分析计划前确定。</w:t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2. 题目用问句形式是否接受。备选："Upper Lip, Chin, and Jawline as a Regional Acne Phenotype: A Cross-Sectional Study"。</w:t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3. Key Message：JAAD 官方说明的 Research Letter 部分没有提到 Key Message，请在投稿系统中确认是否需要；若不需要，正文可多出约 30 词空间。</w:t>
      </w:r>
    </w:p>
    <w:p>
      <w:pPr>
        <w:keepNext/>
        <w:spacing w:after="120" w:before="240" w:line="276" w:lineRule="auto"/>
        <w:jc w:val="left"/>
      </w:pPr>
      <w:r>
        <w:rPr>
          <w:rFonts w:ascii="Times New Roman" w:cs="Times New Roman" w:eastAsia="SimSun" w:hAnsi="Times New Roman"/>
          <w:b/>
          <w:bCs/>
          <w:sz w:val="28"/>
          <w:szCs w:val="28"/>
        </w:rPr>
        <w:t xml:space="preserve">七、填写与核对清单</w:t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1. 主文黄色高亮 3 处（去掉下巴后的结果、期望值与 P 值、验证分析结果）；表 I 末行；补充材料各表；声明部分。</w:t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2. 用真实数据替换全部 FICTIONAL 数字，用 Fig1_绘图脚本_v11.py 重画图 1、FigS1 脚本重画补充图。</w:t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3. 字数：Key Message + 正文 470 词。</w:t>
      </w:r>
    </w:p>
    <w:p>
      <w:pPr>
        <w:spacing w:after="100" w:before="0" w:line="300" w:lineRule="auto"/>
        <w:jc w:val="both"/>
      </w:pPr>
      <w:r>
        <w:rPr>
          <w:rFonts w:ascii="Times New Roman" w:cs="Times New Roman" w:eastAsia="SimSun" w:hAnsi="Times New Roman"/>
          <w:sz w:val="21"/>
          <w:szCs w:val="21"/>
        </w:rPr>
        <w:t xml:space="preserve">4. 待核对文献：AFAST（Auffret 2016）卷期页码、Smith 2007 页码、Randall（建议换成 2008 年综述）、Telkkälä 2025、Altunel 2025。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SimSu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SimSun" w:hAnsi="Times New Roman"/>
        <w:b/>
        <w:bCs/>
        <w:color w:val="C00000"/>
        <w:sz w:val="16"/>
        <w:szCs w:val="16"/>
      </w:rPr>
      <w:t xml:space="preserve">模拟演示配套说明 · 非投稿材料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SimSu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2026-10-11T07:26:00.567Z</dcterms:created>
  <dcterms:modified xsi:type="dcterms:W3CDTF">2026-10-11T07:26:00.567Z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