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Does Acne Activity at Beard-Associated Sites Identify a Clinically Informative Regional Pattern?</w:t>
      </w:r>
    </w:p>
    <w:p>
      <w:pPr>
        <w:pStyle w:val="Subtitle"/>
      </w:pPr>
      <w:r>
        <w:rPr>
          <w:b w:val="0"/>
        </w:rPr>
        <w:t>JAAD Research Letter framework v12</w:t>
      </w:r>
    </w:p>
    <w:p>
      <w:r>
        <w:rPr>
          <w:b/>
        </w:rPr>
        <w:t>Author review draft dated 11 October 2026. This is a new conceptual manuscript, not a revision of the teacher-commented original.</w:t>
      </w:r>
    </w:p>
    <w:p>
      <w:r>
        <w:rPr>
          <w:b w:val="0"/>
        </w:rPr>
        <w:t>No patient-level analysis was performed for this version. The methods describe the proposed workflow. Bracketed fields are unfilled, not simulated findings. The 306 records reported by the author are not assumed to be 306 eligible or complete cases. Newly proposed items must be verified before this design can be applied to existing records.</w:t>
      </w:r>
    </w:p>
    <w:p>
      <w:r>
        <w:rPr>
          <w:b w:val="0"/>
        </w:rPr>
        <w:t>Provisional main-text word count: 430. Five references. One figure and one table. No abstract, capsule summary, or separate Key Message is included.</w:t>
      </w:r>
    </w:p>
    <w:p>
      <w:pPr>
        <w:pStyle w:val="Heading1"/>
      </w:pPr>
      <w:r>
        <w:t>Title page fields to complete</w:t>
      </w:r>
    </w:p>
    <w:p>
      <w:pPr>
        <w:jc w:val="left"/>
      </w:pPr>
      <w:r>
        <w:rPr>
          <w:b w:val="0"/>
        </w:rPr>
        <w:t>Authors and degrees: [TO COMPLETE]</w:t>
      </w:r>
    </w:p>
    <w:p>
      <w:pPr>
        <w:jc w:val="left"/>
      </w:pPr>
      <w:r>
        <w:rPr>
          <w:b w:val="0"/>
        </w:rPr>
        <w:t>Affiliations and corresponding author: [TO COMPLETE]</w:t>
      </w:r>
    </w:p>
    <w:p>
      <w:pPr>
        <w:jc w:val="left"/>
      </w:pPr>
      <w:r>
        <w:rPr>
          <w:b w:val="0"/>
        </w:rPr>
        <w:t>Funding and conflicts of interest: [AUTHOR CONFIRMATION REQUIRED]</w:t>
      </w:r>
    </w:p>
    <w:p>
      <w:pPr>
        <w:jc w:val="left"/>
      </w:pPr>
      <w:r>
        <w:rPr>
          <w:b w:val="0"/>
        </w:rPr>
        <w:t>Ethics approval and consent: [ACTUAL COMMITTEE, NUMBER, AND CONSENT STATUS]</w:t>
      </w:r>
    </w:p>
    <w:p>
      <w:pPr>
        <w:jc w:val="left"/>
      </w:pPr>
      <w:r>
        <w:rPr>
          <w:b w:val="0"/>
        </w:rPr>
        <w:t>Recruitment setting and dates: [TO VERIFY]</w:t>
      </w:r>
    </w:p>
    <w:p>
      <w:pPr>
        <w:jc w:val="left"/>
      </w:pPr>
      <w:r>
        <w:rPr>
          <w:b w:val="0"/>
        </w:rPr>
        <w:t>Data and code availability: [CONFIRM SHARING PERMISSIONS AND LOCATION]</w:t>
      </w:r>
    </w:p>
    <w:p>
      <w:pPr>
        <w:jc w:val="left"/>
      </w:pPr>
      <w:r>
        <w:rPr>
          <w:b w:val="0"/>
        </w:rPr>
        <w:t>AI assistance disclosure: [CONFIRM TOOL, SCOPE, HUMAN REVIEW, AND CURRENT JOURNAL POLICY]</w:t>
      </w:r>
    </w:p>
    <w:p>
      <w:pPr>
        <w:spacing w:line="259" w:lineRule="auto"/>
      </w:pPr>
      <w:r>
        <w:rPr>
          <w:b w:val="0"/>
          <w:sz w:val="20"/>
        </w:rPr>
        <w:t>Not submission-ready. Remove drafting notes and replace all bracketed fields only after source verification and author approval. These files contain no reconstructed teacher revisions or removed teacher comments.</w:t>
      </w:r>
    </w:p>
    <w:p>
      <w:pPr>
        <w:pStyle w:val="Heading1"/>
        <w:pageBreakBefore/>
      </w:pPr>
      <w:r>
        <w:t>Main text</w:t>
      </w:r>
    </w:p>
    <w:p>
      <w:pPr>
        <w:spacing w:line="480" w:lineRule="auto" w:after="160"/>
      </w:pPr>
      <w:r>
        <w:rPr>
          <w:b w:val="0"/>
        </w:rPr>
        <w:t>Mandibular assessment is already incorporated into adult female acne scoring and treatment trials.</w:t>
      </w:r>
      <w:r>
        <w:rPr>
          <w:b w:val="0"/>
          <w:vertAlign w:val="superscript"/>
        </w:rPr>
        <w:t>1,2</w:t>
      </w:r>
      <w:r>
        <w:rPr>
          <w:b w:val="0"/>
        </w:rPr>
        <w:t xml:space="preserve"> Recent work also describes acne progression patterns that may complement severity grading.</w:t>
      </w:r>
      <w:r>
        <w:rPr>
          <w:b w:val="0"/>
          <w:vertAlign w:val="superscript"/>
        </w:rPr>
        <w:t>3</w:t>
      </w:r>
      <w:r>
        <w:rPr>
          <w:b w:val="0"/>
        </w:rPr>
        <w:t xml:space="preserve"> We propose examining whether activity at the philtral upper lip, chin, and jawline identifies a clinically informative regional pattern across sexes. These beard-associated sites are defined anatomically, excluding the neck and retaining each component. The question is whether this distribution connects recalled lesion morphology, clinical correlates, and patient priorities, rather than simply identifying a common location.</w:t>
      </w:r>
    </w:p>
    <w:p>
      <w:pPr>
        <w:spacing w:line="480" w:lineRule="auto" w:after="160"/>
      </w:pPr>
      <w:r>
        <w:rPr>
          <w:b w:val="0"/>
        </w:rPr>
        <w:t>Adults with clinician-supported acne and no acne medication during the preceding 6 months will be assessed. Study-defined site activity requires active lesions in at least 3 different months within that period, using one yes/no/uncertain item per site. Beard-associated activity requires at least one qualifying component; other-site involvement is permitted. Recalled highest lesion morphology and current physician-assessed global grade will be recorded separately using Chinese grades I–IV,</w:t>
      </w:r>
      <w:r>
        <w:rPr>
          <w:b w:val="0"/>
          <w:vertAlign w:val="superscript"/>
        </w:rPr>
        <w:t>4</w:t>
      </w:r>
      <w:r>
        <w:rPr>
          <w:b w:val="0"/>
        </w:rPr>
        <w:t xml:space="preserve"> with current clearance recorded separately. Separate multivariable logistic models will examine four selected correlates: age &gt;25 years, body mass index ≥24 kg/m², premenstrual aggravation, and frequent intake of questionnaire-listed foods. Models will adjust for age, sex, and body mass index as applicable, without readjusting for the exposure itself. Menstrual models will include applicable women only. Component-site and chin-excluded analyses will describe the contribution of individual sites. An additional logistic model will assess reported burden, adjusting for age, sex, current global grade, and other-site count. All selected correlates and their 95% confidence intervals will be reported.</w:t>
      </w:r>
    </w:p>
    <w:p>
      <w:pPr>
        <w:spacing w:line="480" w:lineRule="auto" w:after="160"/>
      </w:pPr>
      <w:r>
        <w:rPr>
          <w:b w:val="0"/>
        </w:rPr>
        <w:t>Among [N ANALYZED] participants, [n/N (%)] meet the regional activity criterion; [n/N (%)] have mixed beard-associated and other-site involvement. The component-site activity proportions and recalled morphology are [OBSERVED PROFILE] (Table I). Adjusted associations are [aORs AND 95% CIs] (Fig 1). Component patterns are [CONCORDANT / PARTIALLY CONCORDANT / DIVERGENT]; excluding the chin yields [RESULT].</w:t>
      </w:r>
    </w:p>
    <w:p>
      <w:pPr>
        <w:spacing w:line="480" w:lineRule="auto" w:after="160"/>
      </w:pPr>
      <w:r>
        <w:rPr>
          <w:b w:val="0"/>
        </w:rPr>
        <w:t>Among participants with mixed involvement and a valid priority response, [n/N (%)] identify a beard-associated site as most bothersome. The adjusted association between regional activity and reported burden is [aOR; 95% CI]. The most frequently reported concerns are [RECORDED CONCERNS], providing context for the clinical importance of this distribution.</w:t>
      </w:r>
    </w:p>
    <w:p>
      <w:pPr>
        <w:spacing w:line="480" w:lineRule="auto" w:after="160"/>
      </w:pPr>
      <w:r>
        <w:rPr>
          <w:b w:val="0"/>
        </w:rPr>
        <w:t>The findings [SUPPORT / PARTLY SUPPORT / DO NOT SUPPORT] a candidate regional clinical pattern linking distribution to [SUPPORTED FEATURES]. Recognizing such a pattern could prompt targeted assessment of menstrual associations, relevant lifestyle exposures, and patient concerns alongside conventional severity grading. Treatment and maintenance decisions remain guideline-based; anatomical location alone does not establish eligibility for hormonal therapy.</w:t>
      </w:r>
      <w:r>
        <w:rPr>
          <w:b w:val="0"/>
          <w:vertAlign w:val="superscript"/>
        </w:rPr>
        <w:t>5</w:t>
      </w:r>
      <w:r>
        <w:rPr>
          <w:b w:val="0"/>
        </w:rPr>
        <w:t xml:space="preserve"> Recall error, treatment-based selection, and cross-sectional assessment limit inference about natural history, mechanisms, and treatment response. Prospective studies must establish whether recognizing the pattern improves management or outcomes.</w:t>
      </w:r>
    </w:p>
    <w:p>
      <w:pPr>
        <w:pStyle w:val="Heading1"/>
        <w:pageBreakBefore/>
      </w:pPr>
      <w:r>
        <w:t>References</w:t>
      </w:r>
    </w:p>
    <w:p>
      <w:pPr>
        <w:pStyle w:val="References"/>
      </w:pPr>
      <w:r>
        <w:rPr>
          <w:b w:val="0"/>
        </w:rPr>
        <w:t>1. Auffret N, Claudel JP, Leccia MT, Poli F, Farhi D, Dréno B. AFAST—Adult Female Acne Scoring Tool: an easy-to-use tool for scoring acne in adult females. J Eur Acad Dermatol Venereol. 2016;30(5):824–828. doi:10.1111/jdv.13518.</w:t>
      </w:r>
    </w:p>
    <w:p>
      <w:pPr>
        <w:pStyle w:val="References"/>
      </w:pPr>
      <w:r>
        <w:rPr>
          <w:b w:val="0"/>
        </w:rPr>
        <w:t>2. Dréno B, Nguyen JM, Hainaut E, et al. Efficacy of spironolactone compared with doxycycline in moderate acne in adult females: results of the multicentre, controlled, randomized, double-blind prospective and parallel Female Acne Spironolactone vs doxyCycline Efficacy (FASCE) study. Acta Derm Venereol. 2024;104:adv26002. doi:10.2340/actadv.v104.26002.</w:t>
      </w:r>
    </w:p>
    <w:p>
      <w:pPr>
        <w:pStyle w:val="References"/>
      </w:pPr>
      <w:r>
        <w:rPr>
          <w:b w:val="0"/>
        </w:rPr>
        <w:t>3. Xiao Q, Rang Z, Liu S, et al. Two distinct patterns of acne progression: Pathogenesis and implications for management. J Am Acad Dermatol. 2025;93(1):234–237. doi:10.1016/j.jaad.2025.02.060.</w:t>
      </w:r>
    </w:p>
    <w:p>
      <w:pPr>
        <w:pStyle w:val="References"/>
      </w:pPr>
      <w:r>
        <w:rPr>
          <w:b w:val="0"/>
        </w:rPr>
        <w:t>4. Chinese Acne Treatment Guidelines Expert Group. Guideline for diagnosis and treatment of acne (the 2019 revised edition). J Clin Dermatol. 2019;48(9):583–588. doi:10.16761/j.cnki.1000-4963.2019.09.020. In Chinese. [Verify the author-group transcription against the original guideline before submission.]</w:t>
      </w:r>
    </w:p>
    <w:p>
      <w:pPr>
        <w:pStyle w:val="References"/>
      </w:pPr>
      <w:r>
        <w:rPr>
          <w:b w:val="0"/>
        </w:rPr>
        <w:t>5. Reynolds RV, Yeung H, Cheng CE, et al. Guidelines of care for the management of acne vulgaris. J Am Acad Dermatol. 2024;90(5):1006.e1–1006.e30. doi:10.1016/j.jaad.2023.12.017.</w:t>
      </w:r>
    </w:p>
    <w:p>
      <w:pPr>
        <w:spacing w:line="259" w:lineRule="auto"/>
      </w:pPr>
      <w:r>
        <w:rPr>
          <w:b w:val="0"/>
          <w:sz w:val="20"/>
        </w:rPr>
        <w:t>References are selected for their role in the argument, not journal impact factor. The Chinese guideline author-group transcription remains a bibliographic check. The original JAAD paper informs the clinical question; the JEADV lifestyle paper informs figure organization and is documented in the companion guide.</w:t>
      </w:r>
    </w:p>
    <w:p>
      <w:pPr>
        <w:pStyle w:val="Heading1"/>
        <w:pageBreakBefore/>
      </w:pPr>
      <w:r>
        <w:t>Table I</w:t>
      </w:r>
    </w:p>
    <w:p>
      <w:pPr>
        <w:jc w:val="left"/>
      </w:pPr>
      <w:r>
        <w:rPr>
          <w:b/>
        </w:rPr>
        <w:t>Site-specific activity, recalled morphology, and patient priorities</w:t>
      </w:r>
    </w:p>
    <w:p>
      <w:pPr>
        <w:spacing w:line="259" w:lineRule="auto"/>
      </w:pPr>
      <w:r>
        <w:rPr>
          <w:b w:val="0"/>
          <w:sz w:val="20"/>
        </w:rPr>
        <w:t>Unfilled table shell. All cells below await source-verified study data.</w:t>
      </w:r>
    </w:p>
    <w:tbl>
      <w:tblPr>
        <w:tblW w:type="auto" w:w="0"/>
        <w:jc w:val="center"/>
        <w:tblLayout w:type="fixed"/>
        <w:tblLook w:firstColumn="1" w:firstRow="1" w:lastColumn="0" w:lastRow="0" w:noHBand="0" w:noVBand="1" w:val="04A0"/>
      </w:tblPr>
      <w:tblGrid>
        <w:gridCol w:w="2376"/>
        <w:gridCol w:w="2045"/>
        <w:gridCol w:w="2808"/>
        <w:gridCol w:w="2635"/>
      </w:tblGrid>
      <w:tr>
        <w:trPr>
          <w:tblHeade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E8EBED"/>
          </w:tcPr>
          <w:p>
            <w:pPr>
              <w:spacing w:line="252" w:lineRule="auto" w:after="0"/>
              <w:jc w:val="left"/>
            </w:pPr>
            <w:r>
              <w:rPr>
                <w:b/>
                <w:sz w:val="20"/>
              </w:rPr>
              <w:t>Facial site</w:t>
            </w:r>
          </w:p>
        </w:tc>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E8EBED"/>
          </w:tcPr>
          <w:p>
            <w:pPr>
              <w:spacing w:line="252" w:lineRule="auto" w:after="0"/>
              <w:jc w:val="left"/>
            </w:pPr>
            <w:r>
              <w:rPr>
                <w:b/>
                <w:sz w:val="20"/>
              </w:rPr>
              <w:t>Activity</w:t>
              <w:br/>
              <w:t>n/N (%)</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E8EBED"/>
          </w:tcPr>
          <w:p>
            <w:pPr>
              <w:spacing w:line="252" w:lineRule="auto" w:after="0"/>
              <w:jc w:val="left"/>
            </w:pPr>
            <w:r>
              <w:rPr>
                <w:b/>
                <w:sz w:val="20"/>
              </w:rPr>
              <w:t>Recalled grade III–IV</w:t>
              <w:br/>
              <w:t>a/m (%)</w:t>
            </w:r>
          </w:p>
        </w:tc>
        <w:tc>
          <w:tcPr>
            <w:tcW w:type="dxa" w:w="263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E8EBED"/>
          </w:tcPr>
          <w:p>
            <w:pPr>
              <w:spacing w:line="252" w:lineRule="auto" w:after="0"/>
              <w:jc w:val="left"/>
            </w:pPr>
            <w:r>
              <w:rPr>
                <w:b/>
                <w:sz w:val="20"/>
              </w:rPr>
              <w:t>Most bothersome</w:t>
              <w:br/>
              <w:t>b/K (%)</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Philtral upper lip</w:t>
            </w:r>
          </w:p>
        </w:tc>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c>
          <w:tcPr>
            <w:tcW w:type="dxa" w:w="263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Chin</w:t>
            </w:r>
          </w:p>
        </w:tc>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 ]</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 ]</w:t>
            </w:r>
          </w:p>
        </w:tc>
        <w:tc>
          <w:tcPr>
            <w:tcW w:type="dxa" w:w="263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 ]</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Jawline</w:t>
            </w:r>
          </w:p>
        </w:tc>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c>
          <w:tcPr>
            <w:tcW w:type="dxa" w:w="263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Forehead</w:t>
            </w:r>
          </w:p>
        </w:tc>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 ]</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 ]</w:t>
            </w:r>
          </w:p>
        </w:tc>
        <w:tc>
          <w:tcPr>
            <w:tcW w:type="dxa" w:w="263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 ]</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Right cheek</w:t>
            </w:r>
          </w:p>
        </w:tc>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c>
          <w:tcPr>
            <w:tcW w:type="dxa" w:w="263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Left cheek</w:t>
            </w:r>
          </w:p>
        </w:tc>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 ]</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 ]</w:t>
            </w:r>
          </w:p>
        </w:tc>
        <w:tc>
          <w:tcPr>
            <w:tcW w:type="dxa" w:w="263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6F7F8"/>
          </w:tcPr>
          <w:p>
            <w:pPr>
              <w:spacing w:line="252" w:lineRule="auto" w:after="0"/>
              <w:jc w:val="left"/>
            </w:pPr>
            <w:r>
              <w:rPr>
                <w:b w:val="0"/>
                <w:sz w:val="20"/>
              </w:rPr>
              <w:t>[ ]</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Nose</w:t>
            </w:r>
          </w:p>
        </w:tc>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c>
          <w:tcPr>
            <w:tcW w:type="dxa" w:w="280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c>
          <w:tcPr>
            <w:tcW w:type="dxa" w:w="263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00" w:type="dxa"/>
              <w:right w:w="100" w:type="dxa"/>
            </w:tcMar>
            <w:shd w:fill="FFFFFF"/>
          </w:tcPr>
          <w:p>
            <w:pPr>
              <w:spacing w:line="252" w:lineRule="auto" w:after="0"/>
              <w:jc w:val="left"/>
            </w:pPr>
            <w:r>
              <w:rPr>
                <w:b w:val="0"/>
                <w:sz w:val="20"/>
              </w:rPr>
              <w:t>[ ]</w:t>
            </w:r>
          </w:p>
        </w:tc>
      </w:tr>
    </w:tbl>
    <w:p>
      <w:pPr>
        <w:spacing w:after="0"/>
      </w:pPr>
    </w:p>
    <w:p>
      <w:pPr>
        <w:spacing w:line="259" w:lineRule="auto"/>
      </w:pPr>
      <w:r>
        <w:rPr>
          <w:b w:val="0"/>
          <w:sz w:val="20"/>
        </w:rPr>
        <w:t>The first three rows are beard-associated sites. Activity means recalled active lesions in at least 3 different months of the preceding 6 months. N is the number with a definite activity response for that site; uncertainty is not coded as absence. Sites may overlap.</w:t>
      </w:r>
    </w:p>
    <w:p>
      <w:pPr>
        <w:spacing w:line="259" w:lineRule="auto"/>
      </w:pPr>
      <w:r>
        <w:rPr>
          <w:b w:val="0"/>
          <w:sz w:val="20"/>
        </w:rPr>
        <w:t>m is the number of participants with qualifying activity at that site and a valid recalled highest-morphology response. Grade III–IV denotes recalled pustules or nodules/cysts; it is neither the current clinical grade nor evidence that every such lesion was deep.</w:t>
      </w:r>
    </w:p>
    <w:p>
      <w:pPr>
        <w:spacing w:line="259" w:lineRule="auto"/>
      </w:pPr>
      <w:r>
        <w:rPr>
          <w:b w:val="0"/>
          <w:sz w:val="20"/>
        </w:rPr>
        <w:t>K is the number with a valid, unique most-bothersome-site answer under the questionnaire skip logic. The same K is used across sites. People whose most bothersome site does not meet the activity threshold are retained. If additional response options exist, add an Other or nonfacial row with activity and morphology marked Not assessed, rather than silently dropping them.</w:t>
      </w:r>
    </w:p>
    <w:p>
      <w:pPr>
        <w:spacing w:line="259" w:lineRule="auto"/>
      </w:pPr>
      <w:r>
        <w:rPr>
          <w:b w:val="0"/>
          <w:sz w:val="20"/>
        </w:rPr>
        <w:t>Beard-associated activity overall and mixed regional involvement are reported in the text. The mixed-involvement priority denominator is reported separately; it is not K. Current global grade belongs in Supplementary Table S1. Unmeasured fields remain unavailable, not zero.</w:t>
      </w:r>
    </w:p>
    <w:p>
      <w:pPr>
        <w:pStyle w:val="Heading1"/>
        <w:pageBreakBefore/>
      </w:pPr>
      <w:r>
        <w:t>Figure legend</w:t>
      </w:r>
    </w:p>
    <w:p>
      <w:r>
        <w:rPr>
          <w:b/>
        </w:rPr>
        <w:t>Adjusted associations with beard-associated acne activity and its component sites</w:t>
      </w:r>
    </w:p>
    <w:p>
      <w:pPr>
        <w:spacing w:line="480" w:lineRule="auto"/>
      </w:pPr>
      <w:r>
        <w:rPr>
          <w:b w:val="0"/>
        </w:rPr>
        <w:t>Figure 1. Planned shared-axis forest plot for beard-associated acne activity. Each row will report an adjusted odds ratio (aOR), 95% confidence interval (CI), model sample size, and event count. The aggregate outcome is activity at any of the three beard-associated sites. Each factor is assessed in a separate participant-level model, adjusting for age, sex, and body mass index as applicable; premenstrual models include applicable women only. A factor is not entered twice as its own adjustment variable. Aggregate and component-site ORs do not constitute formal tests of between-site differences. The accompanying PNG is an empty layout, not a result figure.</w:t>
      </w:r>
    </w:p>
    <w:p>
      <w:pPr>
        <w:spacing w:line="259" w:lineRule="auto"/>
      </w:pPr>
      <w:r>
        <w:rPr>
          <w:b w:val="0"/>
          <w:sz w:val="20"/>
        </w:rPr>
        <w:t>Figure preview supplied separately as 03_Figure1_layout_v12.png. It is for author review and Illustrator reconstruction, not the final submission image.</w:t>
      </w:r>
    </w:p>
    <w:p>
      <w:pPr>
        <w:pStyle w:val="Heading1"/>
        <w:pageBreakBefore/>
      </w:pPr>
      <w:r>
        <w:t>Abbreviations</w:t>
      </w:r>
    </w:p>
    <w:p>
      <w:pPr>
        <w:spacing w:line="480" w:lineRule="auto"/>
        <w:jc w:val="left"/>
      </w:pPr>
      <w:r>
        <w:rPr>
          <w:b w:val="0"/>
        </w:rPr>
        <w:t>aOR, adjusted odds ratio</w:t>
      </w:r>
    </w:p>
    <w:p>
      <w:pPr>
        <w:spacing w:line="480" w:lineRule="auto"/>
        <w:jc w:val="left"/>
      </w:pPr>
      <w:r>
        <w:rPr>
          <w:b w:val="0"/>
        </w:rPr>
        <w:t>BMI, body mass index</w:t>
      </w:r>
    </w:p>
    <w:p>
      <w:pPr>
        <w:spacing w:line="480" w:lineRule="auto"/>
        <w:jc w:val="left"/>
      </w:pPr>
      <w:r>
        <w:rPr>
          <w:b w:val="0"/>
        </w:rPr>
        <w:t>CI, confidence interval</w:t>
      </w:r>
    </w:p>
    <w:p>
      <w:pPr>
        <w:spacing w:line="480" w:lineRule="auto"/>
        <w:jc w:val="left"/>
      </w:pPr>
      <w:r>
        <w:rPr>
          <w:b w:val="0"/>
        </w:rPr>
        <w:t>OR, odds ratio</w:t>
      </w:r>
    </w:p>
    <w:sectPr w:rsidR="00FC693F" w:rsidRPr="0006063C" w:rsidSect="00034616">
      <w:footerReference w:type="default" r:id="rId9"/>
      <w:headerReference w:type="default" r:id="rId10"/>
      <w:pgSz w:w="12240" w:h="15840"/>
      <w:pgMar w:top="1080" w:right="1152" w:bottom="1080" w:left="1152" w:header="432" w:footer="432" w:gutter="0"/>
      <w:cols w:space="720"/>
      <w:docGrid w:linePitch="360"/>
      <w:lnNumType w:countBy="1"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FRAMEWORK v12  |  11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 xml:space="preserve">DESIGN DRAFT  |  NO STUDY RESULTS  |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snapToGrid w:val="0"/>
      <w:spacing w:line="276" w:lineRule="auto" w:after="140"/>
      <w:jc w:val="both"/>
    </w:pPr>
    <w:rPr>
      <w:rFonts w:ascii="Times New Roman" w:hAnsi="Times New Roman" w:eastAsia="Songti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Times New Roman" w:hAnsi="Times New Roman" w:eastAsia="Song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Times New Roman" w:hAnsi="Times New Roman"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snapToGrid w:val="0"/>
    </w:pPr>
    <w:rPr>
      <w:rFonts w:asciiTheme="majorHAnsi" w:eastAsiaTheme="majorEastAsia" w:hAnsiTheme="majorHAnsi" w:cstheme="majorBidi" w:ascii="Times New Roman" w:hAnsi="Times New Roman" w:eastAsia="Song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snapToGrid w:val="0"/>
    </w:pPr>
    <w:rPr>
      <w:rFonts w:asciiTheme="majorHAnsi" w:eastAsiaTheme="majorEastAsia" w:hAnsiTheme="majorHAnsi" w:cstheme="majorBidi" w:ascii="Times New Roman" w:hAnsi="Times New Roman"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ascii="Times New Roman" w:hAnsi="Times New Roman" w:eastAsia="Songti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ascii="Times New Roman" w:hAnsi="Times New Roman" w:eastAsia="Songti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ascii="Times New Roman" w:hAnsi="Times New Roman" w:eastAsia="Songti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ascii="Times New Roman" w:hAnsi="Times New Roman" w:eastAsia="Songti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ascii="Times New Roman" w:hAnsi="Times New Roman" w:eastAsia="Songti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ascii="Times New Roman" w:hAnsi="Times New Roman" w:eastAsia="Songti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ascii="Times New Roman" w:hAnsi="Times New Roman" w:eastAsia="Songti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Times New Roman" w:hAnsi="Times New Roman" w:eastAsia="Songti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snapToGrid w:val="0"/>
    </w:pPr>
    <w:rPr>
      <w:rFonts w:asciiTheme="majorHAnsi" w:eastAsiaTheme="majorEastAsia" w:hAnsiTheme="majorHAnsi" w:cstheme="majorBidi" w:ascii="Times New Roman" w:hAnsi="Times New Roman" w:eastAsia="Songti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pacing w:before="0" w:after="140"/>
    </w:pPr>
    <w:rPr>
      <w:rFonts w:asciiTheme="majorHAnsi" w:eastAsiaTheme="majorEastAsia" w:hAnsiTheme="majorHAnsi" w:cstheme="majorBidi" w:ascii="Times New Roman" w:hAnsi="Times New Roman" w:eastAsia="Songti S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Times New Roman" w:hAnsi="Times New Roman" w:eastAsia="Songti SC"/>
      <w:color w:val="000000"/>
    </w:rPr>
  </w:style>
  <w:style w:type="paragraph" w:styleId="BodyText">
    <w:name w:val="Body Text"/>
    <w:basedOn w:val="Normal"/>
    <w:link w:val="BodyTextChar"/>
    <w:uiPriority w:val="99"/>
    <w:unhideWhenUsed/>
    <w:rsid w:val="00AA1D8D"/>
    <w:pPr>
      <w:spacing w:after="120"/>
      <w:snapToGrid w:val="0"/>
    </w:pPr>
    <w:rPr>
      <w:rFonts w:ascii="Times New Roman" w:hAnsi="Times New Roman" w:eastAsia="Songti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Times New Roman" w:hAnsi="Times New Roman" w:eastAsia="Songti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Times New Roman" w:hAnsi="Times New Roman" w:eastAsia="Songti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Times New Roman" w:hAnsi="Times New Roman" w:eastAsia="Songti SC"/>
      <w:color w:val="000000"/>
    </w:rPr>
  </w:style>
  <w:style w:type="paragraph" w:styleId="List2">
    <w:name w:val="List 2"/>
    <w:basedOn w:val="Normal"/>
    <w:uiPriority w:val="99"/>
    <w:unhideWhenUsed/>
    <w:rsid w:val="00326F90"/>
    <w:pPr>
      <w:ind w:left="720" w:hanging="360"/>
      <w:contextualSpacing/>
      <w:snapToGrid w:val="0"/>
    </w:pPr>
    <w:rPr>
      <w:rFonts w:ascii="Times New Roman" w:hAnsi="Times New Roman" w:eastAsia="Songti SC"/>
      <w:color w:val="000000"/>
    </w:rPr>
  </w:style>
  <w:style w:type="paragraph" w:styleId="List3">
    <w:name w:val="List 3"/>
    <w:basedOn w:val="Normal"/>
    <w:uiPriority w:val="99"/>
    <w:unhideWhenUsed/>
    <w:rsid w:val="00326F90"/>
    <w:pPr>
      <w:ind w:left="1080" w:hanging="360"/>
      <w:contextualSpacing/>
      <w:snapToGrid w:val="0"/>
    </w:pPr>
    <w:rPr>
      <w:rFonts w:ascii="Times New Roman" w:hAnsi="Times New Roman" w:eastAsia="Songti SC"/>
      <w:color w:val="000000"/>
    </w:rPr>
  </w:style>
  <w:style w:type="paragraph" w:styleId="ListBullet">
    <w:name w:val="List Bullet"/>
    <w:basedOn w:val="Normal"/>
    <w:uiPriority w:val="99"/>
    <w:unhideWhenUsed/>
    <w:rsid w:val="00326F90"/>
    <w:pPr>
      <w:numPr>
        <w:numId w:val="1"/>
      </w:numPr>
      <w:contextualSpacing/>
      <w:snapToGrid w:val="0"/>
    </w:pPr>
    <w:rPr>
      <w:rFonts w:ascii="Times New Roman" w:hAnsi="Times New Roman" w:eastAsia="Songti SC"/>
      <w:color w:val="000000"/>
    </w:rPr>
  </w:style>
  <w:style w:type="paragraph" w:styleId="ListBullet2">
    <w:name w:val="List Bullet 2"/>
    <w:basedOn w:val="Normal"/>
    <w:uiPriority w:val="99"/>
    <w:unhideWhenUsed/>
    <w:rsid w:val="00326F90"/>
    <w:pPr>
      <w:numPr>
        <w:numId w:val="2"/>
      </w:numPr>
      <w:contextualSpacing/>
      <w:snapToGrid w:val="0"/>
    </w:pPr>
    <w:rPr>
      <w:rFonts w:ascii="Times New Roman" w:hAnsi="Times New Roman" w:eastAsia="Songti SC"/>
      <w:color w:val="000000"/>
    </w:rPr>
  </w:style>
  <w:style w:type="paragraph" w:styleId="ListBullet3">
    <w:name w:val="List Bullet 3"/>
    <w:basedOn w:val="Normal"/>
    <w:uiPriority w:val="99"/>
    <w:unhideWhenUsed/>
    <w:rsid w:val="00326F90"/>
    <w:pPr>
      <w:numPr>
        <w:numId w:val="3"/>
      </w:numPr>
      <w:contextualSpacing/>
      <w:snapToGrid w:val="0"/>
    </w:pPr>
    <w:rPr>
      <w:rFonts w:ascii="Times New Roman" w:hAnsi="Times New Roman" w:eastAsia="Songti SC"/>
      <w:color w:val="000000"/>
    </w:rPr>
  </w:style>
  <w:style w:type="paragraph" w:styleId="ListNumber">
    <w:name w:val="List Number"/>
    <w:basedOn w:val="Normal"/>
    <w:uiPriority w:val="99"/>
    <w:unhideWhenUsed/>
    <w:rsid w:val="00326F90"/>
    <w:pPr>
      <w:numPr>
        <w:numId w:val="5"/>
      </w:numPr>
      <w:contextualSpacing/>
      <w:snapToGrid w:val="0"/>
    </w:pPr>
    <w:rPr>
      <w:rFonts w:ascii="Times New Roman" w:hAnsi="Times New Roman" w:eastAsia="Songti SC"/>
      <w:color w:val="000000"/>
    </w:rPr>
  </w:style>
  <w:style w:type="paragraph" w:styleId="ListNumber2">
    <w:name w:val="List Number 2"/>
    <w:basedOn w:val="Normal"/>
    <w:uiPriority w:val="99"/>
    <w:unhideWhenUsed/>
    <w:rsid w:val="0029639D"/>
    <w:pPr>
      <w:numPr>
        <w:numId w:val="6"/>
      </w:numPr>
      <w:contextualSpacing/>
      <w:snapToGrid w:val="0"/>
    </w:pPr>
    <w:rPr>
      <w:rFonts w:ascii="Times New Roman" w:hAnsi="Times New Roman" w:eastAsia="Songti SC"/>
      <w:color w:val="000000"/>
    </w:rPr>
  </w:style>
  <w:style w:type="paragraph" w:styleId="ListNumber3">
    <w:name w:val="List Number 3"/>
    <w:basedOn w:val="Normal"/>
    <w:uiPriority w:val="99"/>
    <w:unhideWhenUsed/>
    <w:rsid w:val="0029639D"/>
    <w:pPr>
      <w:numPr>
        <w:numId w:val="7"/>
      </w:numPr>
      <w:contextualSpacing/>
      <w:snapToGrid w:val="0"/>
    </w:pPr>
    <w:rPr>
      <w:rFonts w:ascii="Times New Roman" w:hAnsi="Times New Roman" w:eastAsia="Songti SC"/>
      <w:color w:val="000000"/>
    </w:rPr>
  </w:style>
  <w:style w:type="paragraph" w:styleId="ListContinue">
    <w:name w:val="List Continue"/>
    <w:basedOn w:val="Normal"/>
    <w:uiPriority w:val="99"/>
    <w:unhideWhenUsed/>
    <w:rsid w:val="0029639D"/>
    <w:pPr>
      <w:spacing w:after="120"/>
      <w:ind w:left="360"/>
      <w:contextualSpacing/>
      <w:snapToGrid w:val="0"/>
    </w:pPr>
    <w:rPr>
      <w:rFonts w:ascii="Times New Roman" w:hAnsi="Times New Roman" w:eastAsia="Songti SC"/>
      <w:color w:val="000000"/>
    </w:rPr>
  </w:style>
  <w:style w:type="paragraph" w:styleId="ListContinue2">
    <w:name w:val="List Continue 2"/>
    <w:basedOn w:val="Normal"/>
    <w:uiPriority w:val="99"/>
    <w:unhideWhenUsed/>
    <w:rsid w:val="0029639D"/>
    <w:pPr>
      <w:spacing w:after="120"/>
      <w:ind w:left="720"/>
      <w:contextualSpacing/>
      <w:snapToGrid w:val="0"/>
    </w:pPr>
    <w:rPr>
      <w:rFonts w:ascii="Times New Roman" w:hAnsi="Times New Roman" w:eastAsia="Songti SC"/>
      <w:color w:val="000000"/>
    </w:rPr>
  </w:style>
  <w:style w:type="paragraph" w:styleId="ListContinue3">
    <w:name w:val="List Continue 3"/>
    <w:basedOn w:val="Normal"/>
    <w:uiPriority w:val="99"/>
    <w:unhideWhenUsed/>
    <w:rsid w:val="0029639D"/>
    <w:pPr>
      <w:spacing w:after="120"/>
      <w:ind w:left="1080"/>
      <w:contextualSpacing/>
      <w:snapToGrid w:val="0"/>
    </w:pPr>
    <w:rPr>
      <w:rFonts w:ascii="Times New Roman" w:hAnsi="Times New Roman" w:eastAsia="Songti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Times New Roman" w:hAnsi="Times New Roman" w:eastAsia="Songti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Times New Roman" w:hAnsi="Times New Roman" w:eastAsia="Songti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Times New Roman" w:hAnsi="Times New Roman"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Times New Roman" w:hAnsi="Times New Roman" w:eastAsia="Songti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Times New Roman" w:hAnsi="Times New Roman" w:eastAsia="Songti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basedOn w:val="Normal"/>
    <w:pPr>
      <w:spacing w:line="480" w:lineRule="auto"/>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Study team · framework drafted with AI assistance</dc:creator>
  <cp:keywords/>
  <dc:description>generated by python-docx</dc:description>
  <cp:lastModifiedBy/>
  <cp:revision>1</cp:revision>
  <dcterms:created xsi:type="dcterms:W3CDTF">2026-10-11T09:00:00Z</dcterms:created>
  <dcterms:modified xsi:type="dcterms:W3CDTF">2026-10-11T09:00:00Z</dcterms:modified>
  <cp:category/>
</cp:coreProperties>
</file>