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胡须相关区域痤疮文稿与图表框架</w:t>
      </w:r>
    </w:p>
    <w:p>
      <w:pPr>
        <w:pStyle w:val="Subtitle"/>
      </w:pPr>
      <w:r>
        <w:rPr>
          <w:b w:val="0"/>
        </w:rPr>
        <w:t>v12  作者讨论版  2026年10月11日</w:t>
      </w:r>
    </w:p>
    <w:p>
      <w:r>
        <w:rPr>
          <w:b/>
        </w:rPr>
        <w:t>本版把研究定位为候选区域临床模式的初步论证。目标是让读者看清这种分布的临床表现、相关线索与患者意义；不靠复杂统计，也不预先宣布三个部位属于同一种激素性痤疮。</w:t>
      </w:r>
    </w:p>
    <w:p>
      <w:r>
        <w:rPr>
          <w:b w:val="0"/>
        </w:rPr>
        <w:t>依据 v11 文稿与问卷，保留问句题目、近6个月至少3个月的单次判定，以及普通多因素 logistic 回归。306人为作者提供的现有资料规模，本轮未核验个体数据、未计算回归、未估算新样本量，也未改动原稿或原图。</w:t>
      </w:r>
    </w:p>
    <w:p>
      <w:pPr>
        <w:pStyle w:val="Heading1"/>
      </w:pPr>
      <w:r>
        <w:t>拟采用的研究问题</w:t>
      </w:r>
    </w:p>
    <w:p>
      <w:r>
        <w:rPr>
          <w:b w:val="0"/>
        </w:rPr>
        <w:t>人中、下巴和下颌缘的跨月痤疮活动，是否呈现一种值得临床识别的区域模式，其皮损表现、相关因素与患者关注能否共同说明关注这一模式的意义？</w:t>
      </w:r>
    </w:p>
    <w:p>
      <w:r>
        <w:rPr>
          <w:b w:val="0"/>
        </w:rPr>
        <w:t>Does Acne Activity at Beard-Associated Sites Identify a Clinically Informative Regional Pattern?</w:t>
      </w:r>
    </w:p>
    <w:p>
      <w:pPr>
        <w:pStyle w:val="Heading1"/>
      </w:pPr>
      <w:r>
        <w:t>创新落点</w:t>
      </w:r>
    </w:p>
    <w:p>
      <w:r>
        <w:rPr>
          <w:b w:val="0"/>
        </w:rPr>
        <w:t>已有 AFAST 和 FASCE 研究记录并评价下颌区域。我们的增量不是首次划出下颌区，而是把人中、下巴和下颌缘的区域活动，与临床线索及患者优先诉求连接起来，并保留男性和三个组成部位。普通 logistic 可以初步描述这种模式；它不能单独证明区域特异性或共同生物学机制。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760"/>
        <w:gridCol w:w="2520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主文段落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读者要得到的答案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第一段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既有区域评分之外，什么临床问题仍未解决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问题与候选区域模式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第二段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如何识别活动并评价相关线索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可复核定义与简单模型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第三段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患者的分布和形态是什么样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Table I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第四段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关联是否清楚，患者在意什么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Figure 1 与困扰结果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第五段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识别后多问什么，如何接上指南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临床解释及证据边界</w:t>
            </w:r>
          </w:p>
        </w:tc>
      </w:tr>
    </w:tbl>
    <w:p>
      <w:pPr>
        <w:spacing w:after="0"/>
      </w:pPr>
    </w:p>
    <w:p>
      <w:pPr>
        <w:spacing w:line="259" w:lineRule="auto"/>
      </w:pPr>
      <w:r>
        <w:rPr>
          <w:b w:val="0"/>
          <w:sz w:val="20"/>
        </w:rPr>
        <w:t>英文正文是完整叙事骨架，结果留白。方法暂用将来时，避免把拟定工作写成已经完成；实施和核验后才能改成最终研究报告。</w:t>
      </w:r>
    </w:p>
    <w:p>
      <w:pPr>
        <w:pStyle w:val="Heading1"/>
        <w:pageBreakBefore/>
      </w:pPr>
      <w:r>
        <w:t>定义与问卷对应</w:t>
      </w:r>
    </w:p>
    <w:p>
      <w:r>
        <w:rPr>
          <w:b w:val="0"/>
        </w:rPr>
        <w:t>区域活动：同一部位在过去6个月中至少3个不同月份出现活动性痤疮皮损。这是本研究拟定的操作性阈值，不是既有共识。每部位只问一次“是／否／不确定”，不增加新发周数、逐月日历、清除间隔或发作次数。痘印、色沉、瘢痕不计为活动。这个门槛表示跨月受累，不等同于量化发作频率，也不能区分持续型和反复型。</w:t>
      </w:r>
    </w:p>
    <w:p>
      <w:r>
        <w:rPr>
          <w:b w:val="0"/>
        </w:rPr>
        <w:t>胡须相关区域阳性：人中、下巴、下颌缘任一处阳性；三处均阴性才判阴性；没有阳性但至少一处不确定者记区域不确定。其他面部痤疮不构成排除。近6个月未用痤疮药是独立纳入条件，不是区域定义，也不等于完全未受远期治疗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4968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字段来源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在文章中的用途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必须保留的边界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N1 七部位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区域及组成部位二分类结局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新版拟定题不等于306人已有回答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Q10-R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回顾性最高皮损形态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不称最常见形态或当前医生分级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C1 与 C1-L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当前全脸分级与局部形态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I–IV外单列当前无活动；与回顾分开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Q5、Q6/Q7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年龄与 BMI 线索及调整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年龄组不倒推出精确年龄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Q32-R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适用女性经前加重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男性、不适用和不确定不记为否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Q25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列举食品摄入分类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沿用题干频率与份量；不是测得GI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Q40-R、Q41-R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任何负担与唯一最困扰部位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遵循跳题分母；不拼成DLQI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Q43-R、N7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困扰皮损和希望改善的问题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不把全脸回答自动归属某一部位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N3、PCOS、PHQ-4等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补充临床背景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未完整采集不重建标准量表或诊断</w:t>
            </w:r>
          </w:p>
        </w:tc>
      </w:tr>
    </w:tbl>
    <w:p>
      <w:pPr>
        <w:spacing w:after="0"/>
      </w:pPr>
    </w:p>
    <w:p>
      <w:pPr>
        <w:spacing w:line="259" w:lineRule="auto"/>
      </w:pPr>
      <w:r>
        <w:rPr>
          <w:b w:val="0"/>
          <w:sz w:val="20"/>
        </w:rPr>
        <w:t>解剖用词固定为 philtral upper lip、人中皮肤、chin、jawline；不含颈部，不默认覆盖整个上唇。左右下颌缘的合并方式须与问卷边界图一致。定义不包含年龄、性别、肤质、月经或困扰，避免用待检验因素反过来定义结局。</w:t>
      </w:r>
    </w:p>
    <w:p>
      <w:pPr>
        <w:pStyle w:val="Heading1"/>
        <w:pageBreakBefore/>
      </w:pPr>
      <w:r>
        <w:t>只用普通多因素 logistic 的分析骨架</w:t>
      </w:r>
    </w:p>
    <w:p>
      <w:r>
        <w:rPr>
          <w:b w:val="0"/>
        </w:rPr>
        <w:t>一位受试者一行。主要结局为三部位任一活动，参照为三部位均不活动；参照组仍可有其他部位痤疮。四个临床线索沿用 v11，不按将来的显著性增删，也不把它们相加为激素或代谢总分。每个线索单独建立经过基础调整的模型，不能因此称其独立于所有其他线索。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3384"/>
      </w:tblGrid>
      <w:tr>
        <w:trPr>
          <w:tblHeader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拟展示线索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对照定义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基础调整项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年龄 &gt;25岁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18–25岁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性别、连续BMI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BMI ≥24 kg/m²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BMI &lt;24 kg/m²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问卷年龄组、性别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经前加重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明确无经前加重的适用女性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问卷年龄组、连续BMI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列举食品频繁摄入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按Q25规则的较低摄入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问卷年龄组、性别、连续BMI</w:t>
            </w:r>
          </w:p>
        </w:tc>
      </w:tr>
    </w:tbl>
    <w:p>
      <w:pPr>
        <w:spacing w:after="0"/>
      </w:pPr>
    </w:p>
    <w:p>
      <w:r>
        <w:rPr>
          <w:b w:val="0"/>
        </w:rPr>
        <w:t>年龄组按实际题目处理，确需合并稀疏高龄组时按人数和相邻年龄事先决定，不根据 OR 或 P 值合并。食品因素须在分析前写明选项组合、份量和频率；图中“≥3次/周”只有在原题可直接编码时才使用，不能声称为饮食GI评分。</w:t>
      </w:r>
    </w:p>
    <w:p>
      <w:pPr>
        <w:pStyle w:val="Heading1"/>
      </w:pPr>
      <w:r>
        <w:t>三个有明确用途的补充检查</w:t>
      </w:r>
    </w:p>
    <w:p>
      <w:r>
        <w:rPr>
          <w:b w:val="0"/>
        </w:rPr>
        <w:t>组成部位：用同类 logistic 分别分析人中、下巴和下颌缘，报告方向与区间。去掉下巴：另定义“人中或下颌缘活动”结局，检查观察是否只由下巴带动，不与原结局冒充同一个估计对象。负担：以 Q40-R 任何负担为结局、区域活动为解释变量，调整年龄、性别、当前全脸分级及其他四部位活动数。</w:t>
      </w:r>
    </w:p>
    <w:p>
      <w:r>
        <w:rPr>
          <w:b w:val="0"/>
        </w:rPr>
        <w:t>若当前医生分级及其他部位计数可用，可增加一次相同变量调整作为敏感性检查。稀疏、不收敛或区间极宽的模型如实标注，不用强制输出。报告每个模型实际 N、阳性数、aOR 和95%CI；主文不以星号或 P&lt;.05 组成“成功”叙事。本轮不加 GEE、Cox、ROR、机器学习或新型评分。</w:t>
      </w:r>
    </w:p>
    <w:p>
      <w:pPr>
        <w:pStyle w:val="Heading1"/>
      </w:pPr>
      <w:r>
        <w:t>保留四选三阈值的正确位置</w:t>
      </w:r>
    </w:p>
    <w:p>
      <w:r>
        <w:rPr>
          <w:b w:val="0"/>
        </w:rPr>
        <w:t>“4个线索中至少3个在三部位方向一致”可保留为探索性的一致性描述，连同各自区间报告；不能充当表型确诊标准。方向同向但区间很宽，称估计不确定。一处显著而另一处不显著，不证明两处不同；普通独立模型也不检验与其他区域的效应差异。</w:t>
      </w:r>
    </w:p>
    <w:p>
      <w:pPr>
        <w:pStyle w:val="Heading1"/>
        <w:pageBreakBefore/>
      </w:pPr>
      <w:r>
        <w:t>主图主表与临床解释</w:t>
      </w:r>
    </w:p>
    <w:p>
      <w:pPr>
        <w:pStyle w:val="Heading1"/>
      </w:pPr>
      <w:r>
        <w:t>Figure 1 关联谱</w:t>
      </w:r>
    </w:p>
    <w:p>
      <w:r>
        <w:rPr>
          <w:b w:val="0"/>
        </w:rPr>
        <w:t>一个共享 OR 坐标轴，四个预选线索依次分组；每组四行分别为区域整体、人中、下巴和下颌缘，共16行。右侧同步列模型人数、阳性数和 aOR（95%CI）。只用灰黑和低饱和蓝强调区域整体，不按 P 值排序。空白示意图已经制作；未放置虚拟点估计或置信区间。</w:t>
      </w:r>
    </w:p>
    <w:p>
      <w:pPr>
        <w:pStyle w:val="Heading1"/>
      </w:pPr>
      <w:r>
        <w:t>Table I 临床表现与患者关注</w:t>
      </w:r>
    </w:p>
    <w:p>
      <w:r>
        <w:rPr>
          <w:b w:val="0"/>
        </w:rPr>
        <w:t>七个部位各一行，依次列活动比例、活动部位中回顾性最高III–IV级形态比例、最困扰部位比例。人中、下巴、下颌缘相邻排列。三个分母分别为部位明确回答者、活动且形态有效者、符合跳题规则且有唯一首要部位回答者。正文另报混合受累者的首要困扰，不写超过预期。</w:t>
      </w:r>
    </w:p>
    <w:p>
      <w:pPr>
        <w:pStyle w:val="Heading1"/>
      </w:pPr>
      <w:r>
        <w:t>补充材料分工</w:t>
      </w:r>
    </w:p>
    <w:p>
      <w:r>
        <w:rPr>
          <w:b w:val="0"/>
        </w:rPr>
        <w:t>S1：招募流程、基线、缺失与当前分级。S2：四线索所有模型及协变量。S3：去下巴与增加调整的检查。S4：Q40、Q43、N7、内分泌及心理背景，各自报告，不合成自创标准量表。S5：定义、跳题和编码字典。区域边界图移补充，临床问诊框架写成建议表。此次提供其内容规划，不声称这些结果表已填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248"/>
        <w:gridCol w:w="3168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观察到的临床线索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可提出的评估与随访建议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不能直接推出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经前加重或月经异常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补充生殖内分泌问诊；按临床指征进一步评估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部位本身诊断高雄激素或PCOS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BMI或特定饮食有关联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了解实际暴露并讨论可行的生活方式管理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调整生活方式已被本研究证实能治愈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较重形态或较大患者负担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结合当前病情与指南讨论治疗、维持及重点目标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胡须区患者一律优先用系统或激素治疗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患者关注痘印或瘢痕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区别现有后遗改变、担忧与实际新发风险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已证明该区域未来瘢痕率更高</w:t>
            </w:r>
          </w:p>
        </w:tc>
      </w:tr>
    </w:tbl>
    <w:p>
      <w:pPr>
        <w:spacing w:after="0"/>
      </w:pPr>
    </w:p>
    <w:p>
      <w:pPr>
        <w:spacing w:line="259" w:lineRule="auto"/>
      </w:pPr>
      <w:r>
        <w:rPr>
          <w:b w:val="0"/>
          <w:sz w:val="20"/>
        </w:rPr>
        <w:t>治疗文字为循现有指南的转译建议，不是本横断面研究的治疗结果。临床鉴别可考虑剃须相关毛囊炎；若无采集字段，不能伪称已完成排除分析。</w:t>
      </w:r>
    </w:p>
    <w:p>
      <w:pPr>
        <w:pStyle w:val="Heading1"/>
        <w:pageBreakBefore/>
      </w:pPr>
      <w:r>
        <w:t>参考论文借鉴与结果解释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816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参考研究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借鉴的结构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BED"/>
          </w:tcPr>
          <w:p>
            <w:pPr>
              <w:spacing w:line="252" w:lineRule="auto" w:after="0"/>
              <w:jc w:val="left"/>
            </w:pPr>
            <w:r>
              <w:rPr>
                <w:b/>
                <w:sz w:val="20"/>
              </w:rPr>
              <w:t>本研究的对应做法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Xiao等 JAAD 2025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从临床现象提出可检验问题，再联系表现与管理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先定义区域活动，再展示形态、关联和患者诉求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Xu等 JEADV 2026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定义清晰；森林图与分母信息对应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6F7F8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图中同时呈现aOR、区间与实际模型人数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AFAST及FASCE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承认既有下颌评价与区域治疗结局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0"/>
              <w:jc w:val="left"/>
            </w:pPr>
            <w:r>
              <w:rPr>
                <w:b w:val="0"/>
                <w:sz w:val="20"/>
              </w:rPr>
              <w:t>不以首次分区或治疗研究从不看部位立论</w:t>
            </w:r>
          </w:p>
        </w:tc>
      </w:tr>
    </w:tbl>
    <w:p>
      <w:pPr>
        <w:spacing w:after="0"/>
      </w:pPr>
    </w:p>
    <w:p>
      <w:r>
        <w:rPr>
          <w:b w:val="0"/>
        </w:rPr>
        <w:t>JAAD参考文献有321份有效问卷、128人的血清子集，可借鉴其问题与回归，不据此宣布306人的精度足够。问卷不能替代血清证据；也不移植JEADV前瞻性队列的发病风险或生活方式总分。</w:t>
      </w:r>
    </w:p>
    <w:p>
      <w:pPr>
        <w:pStyle w:val="Heading1"/>
      </w:pPr>
      <w:r>
        <w:t>结果出现不同情况时如何写</w:t>
      </w:r>
    </w:p>
    <w:p>
      <w:r>
        <w:rPr>
          <w:b w:val="0"/>
        </w:rPr>
        <w:t>若组成部位方向相近、去下巴仍有信息、负担也有支持，可写“支持进一步评价有临床意义的候选区域模式”。若只有下巴明确，收窄到下巴主导；若关联不清而患者关注突出，聚焦临床负担；若均不支持，如实报告，不删去不一致部位。</w:t>
      </w:r>
    </w:p>
    <w:p>
      <w:pPr>
        <w:pStyle w:val="Heading1"/>
      </w:pPr>
      <w:r>
        <w:t>当前期刊约束与尚未完成事项</w:t>
      </w:r>
    </w:p>
    <w:p>
      <w:r>
        <w:rPr>
          <w:b w:val="0"/>
        </w:rPr>
        <w:t>目标为 Journal of the American Academy of Dermatology 的 Research Letter。2026年10月11日核对的官方类型页规定正文500词、参考文献5条、图表合计2项，无摘要及Capsule Summary。每个分图分别计数；本版为一个共享轴图与一个可编辑表，正文约430词。文字及版式遵循投稿技能要求，尚非可直接投稿的实证稿。</w:t>
      </w:r>
    </w:p>
    <w:p>
      <w:r>
        <w:rPr>
          <w:b w:val="0"/>
        </w:rPr>
        <w:t>官方调查研究清单要求至少60%回复率，需要真实邀请人数才能核对；并要求Word正文及参考文献双倍行距、连续行号、右上页码、单页图注。正式图件为JPG、TIF或EPS且至少300 dpi，本次PNG仅作示意。完整作者指南页面本次未成功读取；标题细则及投稿系统字段仍待复核。伦理、同意、地点日期、数据可用性与AI披露须作者确认，不虚填。</w:t>
      </w:r>
    </w:p>
    <w:p>
      <w:pPr>
        <w:spacing w:after="80"/>
        <w:jc w:val="left"/>
      </w:pPr>
      <w:hyperlink r:id="rId11">
        <w:r>
          <w:rPr>
            <w:sz w:val="20"/>
            <w:u w:val="single"/>
          </w:rPr>
          <w:t>JAAD 类型要求</w:t>
        </w:r>
      </w:hyperlink>
      <w:r>
        <w:t xml:space="preserve">   |   </w:t>
      </w:r>
      <w:hyperlink r:id="rId12">
        <w:r>
          <w:rPr>
            <w:sz w:val="20"/>
            <w:u w:val="single"/>
          </w:rPr>
          <w:t>JAAD 投稿清单</w:t>
        </w:r>
      </w:hyperlink>
      <w:r>
        <w:t xml:space="preserve">   |   </w:t>
      </w:r>
      <w:hyperlink r:id="rId13">
        <w:r>
          <w:rPr>
            <w:sz w:val="20"/>
            <w:u w:val="single"/>
          </w:rPr>
          <w:t>JEADV 构图参考  10.1111/jdv.70649</w:t>
        </w:r>
      </w:hyperlink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FRAMEWORK v12  |  11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DESIGN DRAFT  |  NO STUDY RESULTS  |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napToGrid w:val="0"/>
      <w:spacing w:line="276" w:lineRule="auto" w:after="140"/>
      <w:jc w:val="both"/>
    </w:pPr>
    <w:rPr>
      <w:rFonts w:ascii="Arial" w:hAnsi="Arial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Arial" w:hAnsi="Arial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Arial" w:hAnsi="Arial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Arial" w:hAnsi="Arial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Arial" w:hAnsi="Arial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Arial" w:hAnsi="Arial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Arial" w:hAnsi="Arial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Arial" w:hAnsi="Arial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Arial" w:hAnsi="Arial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Arial" w:hAnsi="Arial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snapToGrid w:val="0"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before="0" w:after="140"/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Arial" w:hAnsi="Arial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Arial" w:hAnsi="Arial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Arial" w:hAnsi="Arial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Arial" w:hAnsi="Arial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Arial" w:hAnsi="Arial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Arial" w:hAnsi="Arial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Arial" w:hAnsi="Arial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Arial" w:hAnsi="Arial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Arial" w:hAnsi="Arial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Arial" w:hAnsi="Arial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Arial" w:hAnsi="Arial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Arial" w:hAnsi="Arial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Arial" w:hAnsi="Arial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Arial" w:hAnsi="Arial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Arial" w:hAnsi="Arial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Arial" w:hAnsi="Arial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">
    <w:name w:val="References"/>
    <w:basedOn w:val="Normal"/>
    <w:pPr>
      <w:spacing w:line="264" w:lineRule="auto"/>
      <w:jc w:val="left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jaad.zendesk.com/hc/en-us/articles/22676470087447-JAAD-Article-Type-Guidelines" TargetMode="External"/><Relationship Id="rId12" Type="http://schemas.openxmlformats.org/officeDocument/2006/relationships/hyperlink" Target="https://legacyfileshare.elsevier.com/promis_misc/jaad-general-submission-checklist.pdf" TargetMode="External"/><Relationship Id="rId13" Type="http://schemas.openxmlformats.org/officeDocument/2006/relationships/hyperlink" Target="https://doi.org/10.1111/jdv.706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team · framework drafted with AI assistance</dc:creator>
  <cp:keywords/>
  <dc:description>generated by python-docx</dc:description>
  <cp:lastModifiedBy/>
  <cp:revision>1</cp:revision>
  <dcterms:created xsi:type="dcterms:W3CDTF">2026-10-11T09:00:00Z</dcterms:created>
  <dcterms:modified xsi:type="dcterms:W3CDTF">2026-10-11T09:00:00Z</dcterms:modified>
  <cp:category/>
</cp:coreProperties>
</file>