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43AF00" w14:textId="77777777" w:rsidR="004C00AB" w:rsidRDefault="00000000">
      <w:pPr>
        <w:keepNext/>
        <w:spacing w:after="200"/>
      </w:pPr>
      <w:r>
        <w:t>16 October 2026</w:t>
      </w:r>
    </w:p>
    <w:p w14:paraId="649D7F7F" w14:textId="77777777" w:rsidR="004C00AB" w:rsidRDefault="00000000">
      <w:pPr>
        <w:keepNext/>
        <w:spacing w:after="200"/>
      </w:pPr>
      <w:r>
        <w:t>The Editors</w:t>
      </w:r>
      <w:r>
        <w:br/>
        <w:t>European Journal of Heart Failure</w:t>
      </w:r>
    </w:p>
    <w:p w14:paraId="0931110B" w14:textId="77777777" w:rsidR="004C00AB" w:rsidRDefault="00000000">
      <w:pPr>
        <w:keepNext/>
        <w:spacing w:after="160"/>
      </w:pPr>
      <w:r>
        <w:t>Dear Editors,</w:t>
      </w:r>
    </w:p>
    <w:p w14:paraId="3A6787AC" w14:textId="77777777" w:rsidR="004C00AB" w:rsidRDefault="00000000">
      <w:r>
        <w:t>Adiposity contributes to heart-failure risk, but the genetic components and regulatory processes linking the two remain incompletely defined. At the FTO-marked 16q12.2 locus, associations with both body mass index (BMI) and heart failure have been reported. It remains unclear which BMI-associated component shares the heart-failure signal and how that component relates to adipogenic regulatory biology.</w:t>
      </w:r>
    </w:p>
    <w:p w14:paraId="30CC9F90" w14:textId="1F6C60BC" w:rsidR="004C00AB" w:rsidRDefault="00000000">
      <w:r>
        <w:t>We address this question in our manuscript, “</w:t>
      </w:r>
      <w:r w:rsidRPr="00D26878">
        <w:rPr>
          <w:b/>
          <w:bCs/>
          <w:i/>
          <w:iCs/>
        </w:rPr>
        <w:t>Shared Genetic Architecture of Body Mass Index and Heart Failure at the FTO Locus</w:t>
      </w:r>
      <w:r>
        <w:t>”, which we submit for consideration</w:t>
      </w:r>
      <w:r w:rsidR="00D26878">
        <w:rPr>
          <w:rFonts w:hint="eastAsia"/>
          <w:lang w:eastAsia="zh-CN"/>
        </w:rPr>
        <w:t xml:space="preserve"> </w:t>
      </w:r>
      <w:r>
        <w:t>in the European Journal of Heart Failure.</w:t>
      </w:r>
    </w:p>
    <w:p w14:paraId="62607DB5" w14:textId="77777777" w:rsidR="00D26878" w:rsidRDefault="00000000" w:rsidP="00D26878">
      <w:pPr>
        <w:keepNext/>
        <w:rPr>
          <w:lang w:eastAsia="zh-CN"/>
        </w:rPr>
      </w:pPr>
      <w:r>
        <w:t>The study integrates GIANT and HERMES genetic data, external regional evaluation in FinnGen, complementary UK Biobank observational analyses and adipogenic chromatin annotation. Its main contributions are:</w:t>
      </w:r>
    </w:p>
    <w:p w14:paraId="0EC19CAE" w14:textId="77777777" w:rsidR="00D26878" w:rsidRDefault="00000000" w:rsidP="00D26878">
      <w:pPr>
        <w:pStyle w:val="a"/>
        <w:rPr>
          <w:lang w:eastAsia="zh-CN"/>
        </w:rPr>
      </w:pPr>
      <w:r>
        <w:rPr>
          <w:b/>
        </w:rPr>
        <w:t xml:space="preserve">Systematic </w:t>
      </w:r>
      <w:proofErr w:type="spellStart"/>
      <w:r>
        <w:rPr>
          <w:b/>
        </w:rPr>
        <w:t>prioritisation</w:t>
      </w:r>
      <w:proofErr w:type="spellEnd"/>
      <w:r>
        <w:rPr>
          <w:b/>
        </w:rPr>
        <w:t xml:space="preserve">. </w:t>
      </w:r>
      <w:r>
        <w:t>Across 75 merged genomic regions covering 78 BMI instruments, five colocalised in both HERMES releases. Among these, 16q12.2 was closest to the genome-wide BMI–heart-failure proportional expectation.</w:t>
      </w:r>
    </w:p>
    <w:p w14:paraId="6969D75F" w14:textId="77777777" w:rsidR="00D26878" w:rsidRDefault="00000000" w:rsidP="00D26878">
      <w:pPr>
        <w:pStyle w:val="a"/>
        <w:rPr>
          <w:lang w:eastAsia="zh-CN"/>
        </w:rPr>
      </w:pPr>
      <w:r w:rsidRPr="00D26878">
        <w:rPr>
          <w:b/>
        </w:rPr>
        <w:t xml:space="preserve">Component-level resolution. </w:t>
      </w:r>
      <w:r>
        <w:t>The primary BMI component at 16q12.2 colocalised with the detected heart-failure signal (posterior probability 0.974). FinnGen provided external support for regional sharing at this locus (posterior probability 0.907).</w:t>
      </w:r>
    </w:p>
    <w:p w14:paraId="1B967D88" w14:textId="3EAF62B0" w:rsidR="004C00AB" w:rsidRDefault="00000000" w:rsidP="00D26878">
      <w:pPr>
        <w:pStyle w:val="a"/>
        <w:rPr>
          <w:lang w:eastAsia="zh-CN"/>
        </w:rPr>
      </w:pPr>
      <w:proofErr w:type="spellStart"/>
      <w:r w:rsidRPr="00D26878">
        <w:rPr>
          <w:b/>
        </w:rPr>
        <w:t>Adipogenic</w:t>
      </w:r>
      <w:proofErr w:type="spellEnd"/>
      <w:r w:rsidRPr="00D26878">
        <w:rPr>
          <w:b/>
        </w:rPr>
        <w:t xml:space="preserve"> regulatory context. </w:t>
      </w:r>
      <w:r>
        <w:t>Fine-mapping and chromatin annotation prioritised the rs1558902–rs1421085 haplotype overlapping active regulatory DNA during adipogenesis.</w:t>
      </w:r>
    </w:p>
    <w:p w14:paraId="775A7C88" w14:textId="77777777" w:rsidR="004C00AB" w:rsidRDefault="00000000">
      <w:r>
        <w:t>Together, these analyses connect a shared regional association to a specific BMI component and its adipogenic regulatory context. The combination of external regional support and regulatory annotation should interest EJHF readers investigating obesity-related heart failure.</w:t>
      </w:r>
    </w:p>
    <w:p w14:paraId="65685B19" w14:textId="77777777" w:rsidR="004C00AB" w:rsidRDefault="00000000">
      <w:r>
        <w:t>This manuscript reports original work, has not been published in another journal and is not under consideration elsewhere. All authors have approved the manuscript. The authors declare no conflicts of interest.</w:t>
      </w:r>
    </w:p>
    <w:p w14:paraId="6F7BCB49" w14:textId="77777777" w:rsidR="004C00AB" w:rsidRDefault="00000000">
      <w:r>
        <w:t>ChatGPT (OpenAI) assisted with language editing and preparation of submission materials. The authors reviewed all output and take full responsibility for the scientific content and interpretation.</w:t>
      </w:r>
    </w:p>
    <w:p w14:paraId="7B329D5C" w14:textId="77777777" w:rsidR="004C00AB" w:rsidRDefault="00000000">
      <w:pPr>
        <w:keepNext/>
        <w:spacing w:after="100"/>
      </w:pPr>
      <w:r>
        <w:t>Yours sincerely,</w:t>
      </w:r>
    </w:p>
    <w:p w14:paraId="5FCBDD90" w14:textId="77777777" w:rsidR="004C00AB" w:rsidRDefault="00000000">
      <w:pPr>
        <w:keepNext/>
        <w:spacing w:after="100"/>
      </w:pPr>
      <w:r>
        <w:t>Rui Zeng and Qinghua Yuan</w:t>
      </w:r>
      <w:r>
        <w:br/>
        <w:t>Co-corresponding authors, on behalf of all authors</w:t>
      </w:r>
    </w:p>
    <w:p w14:paraId="2AFFC2FE" w14:textId="77777777" w:rsidR="004C00AB" w:rsidRDefault="00000000">
      <w:pPr>
        <w:keepNext/>
        <w:spacing w:after="100"/>
      </w:pPr>
      <w:r>
        <w:rPr>
          <w:sz w:val="21"/>
        </w:rPr>
        <w:t>Rui Zeng</w:t>
      </w:r>
      <w:r>
        <w:rPr>
          <w:sz w:val="21"/>
        </w:rPr>
        <w:br/>
        <w:t>Department of Cardiology, West China Hospital, Sichuan University, Chengdu, China</w:t>
      </w:r>
      <w:r>
        <w:rPr>
          <w:sz w:val="21"/>
        </w:rPr>
        <w:br/>
        <w:t>Email: zengrui_0524@126.com</w:t>
      </w:r>
    </w:p>
    <w:p w14:paraId="30E85068" w14:textId="77777777" w:rsidR="004C00AB" w:rsidRDefault="00000000">
      <w:pPr>
        <w:spacing w:after="0"/>
      </w:pPr>
      <w:r>
        <w:rPr>
          <w:sz w:val="21"/>
        </w:rPr>
        <w:t>Qinghua Yuan</w:t>
      </w:r>
      <w:r>
        <w:rPr>
          <w:sz w:val="21"/>
        </w:rPr>
        <w:br/>
        <w:t>Department of Cardiology, the Seventh Affiliated Hospital of Sun Yat-sen University, Shenzhen, China</w:t>
      </w:r>
      <w:r>
        <w:rPr>
          <w:sz w:val="21"/>
        </w:rPr>
        <w:br/>
        <w:t>Email: yuanqinghua@sysush.com</w:t>
      </w:r>
    </w:p>
    <w:sectPr w:rsidR="004C00AB"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491084"/>
    <w:multiLevelType w:val="singleLevel"/>
    <w:tmpl w:val="F338459A"/>
    <w:lvl w:ilvl="0">
      <w:start w:val="1"/>
      <w:numFmt w:val="decimal"/>
      <w:pStyle w:val="a"/>
      <w:lvlText w:val="%1."/>
      <w:lvlJc w:val="left"/>
      <w:pPr>
        <w:tabs>
          <w:tab w:val="num" w:pos="260"/>
        </w:tabs>
        <w:ind w:left="260" w:hanging="260"/>
      </w:pPr>
      <w:rPr>
        <w:rFonts w:ascii="Times New Roman" w:eastAsia="Times New Roman" w:hAnsi="Times New Roman" w:cs="Times New Roman"/>
      </w:rPr>
    </w:lvl>
  </w:abstractNum>
  <w:num w:numId="1" w16cid:durableId="22040408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0AB"/>
    <w:rsid w:val="004C3555"/>
    <w:rsid w:val="00AA1D8D"/>
    <w:rsid w:val="00B47730"/>
    <w:rsid w:val="00CB0664"/>
    <w:rsid w:val="00D26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BF674"/>
  <w14:defaultImageDpi w14:val="300"/>
  <w15:docId w15:val="{8726A4ED-86FF-6746-96A0-29E676BF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line="240" w:lineRule="auto"/>
    </w:pPr>
    <w:rPr>
      <w:rFonts w:ascii="Times New Roman" w:eastAsia="Times New Roman" w:hAnsi="Times New Roman" w:cs="Times New Roman"/>
      <w:color w:val="000000"/>
      <w:sz w:val="23"/>
    </w:rPr>
  </w:style>
  <w:style w:type="paragraph" w:styleId="1">
    <w:name w:val="heading 1"/>
    <w:basedOn w:val="a0"/>
    <w:next w:val="a0"/>
    <w:link w:val="10"/>
    <w:uiPriority w:val="9"/>
    <w:qFormat/>
    <w:rsid w:val="00FC693F"/>
    <w:pPr>
      <w:keepNext/>
      <w:keepLines/>
      <w:spacing w:before="480" w:after="0"/>
      <w:outlineLvl w:val="0"/>
    </w:pPr>
    <w:rPr>
      <w:rFonts w:cstheme="majorBidi"/>
      <w:b/>
      <w:bCs/>
      <w:szCs w:val="28"/>
    </w:rPr>
  </w:style>
  <w:style w:type="paragraph" w:styleId="2">
    <w:name w:val="heading 2"/>
    <w:basedOn w:val="a0"/>
    <w:next w:val="a0"/>
    <w:link w:val="20"/>
    <w:uiPriority w:val="9"/>
    <w:unhideWhenUsed/>
    <w:qFormat/>
    <w:rsid w:val="00FC693F"/>
    <w:pPr>
      <w:keepNext/>
      <w:keepLines/>
      <w:spacing w:before="200" w:after="0"/>
      <w:outlineLvl w:val="1"/>
    </w:pPr>
    <w:rPr>
      <w:rFonts w:cstheme="majorBidi"/>
      <w:b/>
      <w:bCs/>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spacing w:after="300"/>
      <w:contextualSpacing/>
    </w:pPr>
    <w:rPr>
      <w:rFonts w:cstheme="majorBidi"/>
      <w:spacing w:val="5"/>
      <w:kern w:val="28"/>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346</Words>
  <Characters>2230</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European Journal of Heart Failure</dc:title>
  <dc:subject>Shared Genetic Architecture of Body Mass Index and Heart Failure at the FTO Locus</dc:subject>
  <dc:creator>Rui Zeng and Qinghua Yuan</dc:creator>
  <cp:keywords/>
  <dc:description>generated by python-docx</dc:description>
  <cp:lastModifiedBy>t17205</cp:lastModifiedBy>
  <cp:revision>2</cp:revision>
  <dcterms:created xsi:type="dcterms:W3CDTF">2013-12-23T23:15:00Z</dcterms:created>
  <dcterms:modified xsi:type="dcterms:W3CDTF">2026-10-17T01:27:00Z</dcterms:modified>
  <cp:category/>
</cp:coreProperties>
</file>