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miRNA activity benchmark v2 — results report</w:t>
      </w:r>
    </w:p>
    <w:p>
      <w:pPr/>
      <w:r>
        <w:t xml:space="preserve">Oct 28, 2026</w:t>
      </w:r>
      <w:r>
        <w:t xml:space="preserve"> · </w:t>
      </w:r>
      <w:r>
        <w:t xml:space="preserve">@Panos</w:t>
      </w:r>
    </w:p>
    <w:p>
      <w:pPr>
        <w:pStyle w:val="Heading2"/>
      </w:pPr>
      <w:r>
        <w:t xml:space="preserve">Bottom line</w:t>
      </w:r>
    </w:p>
    <w:p>
      <w:pPr/>
      <w:r>
        <w:rPr>
          <w:b/>
        </w:rPr>
        <w:t xml:space="preserve">Best method overall: Ours-D</w:t>
      </w:r>
      <w:r>
        <w:t xml:space="preserve"> (mean within-cell rank of the target log ratios). It is the only method in the top two of at least two datasets when judged against random target lists: 1st in mESC, 5th in HEK, 2nd in PSCSR (mean rank 2.7 of 10).</w:t>
      </w:r>
    </w:p>
    <w:p>
      <w:pPr>
        <w:pStyle w:val="ListParagraph"/>
        <w:numPr>
          <w:ilvl w:val="0"/>
          <w:numId w:val="2"/>
        </w:numPr>
      </w:pPr>
      <w:r>
        <w:rPr>
          <w:b/>
        </w:rPr>
        <w:t xml:space="preserve">Solid alternatives:</w:t>
      </w:r>
      <w:r>
        <w:t xml:space="preserve"> miReact and miTEA-HiRes on target lists, and Ours-C2. All are good in mESC and HEK and positive in PSCSR.</w:t>
      </w:r>
    </w:p>
    <w:p>
      <w:pPr>
        <w:pStyle w:val="ListParagraph"/>
        <w:numPr>
          <w:ilvl w:val="0"/>
          <w:numId w:val="2"/>
        </w:numPr>
      </w:pPr>
      <w:r>
        <w:rPr>
          <w:b/>
        </w:rPr>
        <w:t xml:space="preserve">Motif-based methods (bayesReact, miReact motif mode):</w:t>
      </w:r>
      <w:r>
        <w:t xml:space="preserve"> among the best in HEK and near-perfect in mESC, where the miRNA's effect is strong, but they lose most of their signal in PSCSR.</w:t>
      </w:r>
    </w:p>
    <w:p>
      <w:pPr>
        <w:pStyle w:val="ListParagraph"/>
        <w:numPr>
          <w:ilvl w:val="0"/>
          <w:numId w:val="2"/>
        </w:numPr>
      </w:pPr>
      <w:r>
        <w:rPr>
          <w:b/>
        </w:rPr>
        <w:t xml:space="preserve">Avoid:</w:t>
      </w:r>
    </w:p>
    <w:p>
      <w:pPr>
        <w:pStyle w:val="ListParagraph"/>
        <w:numPr>
          <w:ilvl w:val="1"/>
          <w:numId w:val="3"/>
        </w:numPr>
      </w:pPr>
      <w:r>
        <w:rPr>
          <w:b/>
        </w:rPr>
        <w:t xml:space="preserve">Ours-C:</w:t>
      </w:r>
      <w:r>
        <w:t xml:space="preserve"> high raw scores that its random lists match.</w:t>
      </w:r>
    </w:p>
    <w:p>
      <w:pPr>
        <w:pStyle w:val="ListParagraph"/>
        <w:numPr>
          <w:ilvl w:val="1"/>
          <w:numId w:val="3"/>
        </w:numPr>
      </w:pPr>
      <w:r>
        <w:rPr>
          <w:b/>
        </w:rPr>
        <w:t xml:space="preserve">Ours-B:</w:t>
      </w:r>
      <w:r>
        <w:t xml:space="preserve"> worst in mESC (21% error).</w:t>
      </w:r>
    </w:p>
    <w:p>
      <w:pPr>
        <w:pStyle w:val="ListParagraph"/>
        <w:numPr>
          <w:ilvl w:val="1"/>
          <w:numId w:val="3"/>
        </w:numPr>
      </w:pPr>
      <w:r>
        <w:rPr>
          <w:b/>
        </w:rPr>
        <w:t xml:space="preserve">Ours-A:</w:t>
      </w:r>
      <w:r>
        <w:t xml:space="preserve"> no signal in PSCSR.</w:t>
      </w:r>
    </w:p>
    <w:p>
      <w:pPr>
        <w:pStyle w:val="ListParagraph"/>
        <w:numPr>
          <w:ilvl w:val="1"/>
          <w:numId w:val="3"/>
        </w:numPr>
      </w:pPr>
      <w:r>
        <w:rPr>
          <w:b/>
        </w:rPr>
        <w:t xml:space="preserve">miDGD:</w:t>
      </w:r>
      <w:r>
        <w:t xml:space="preserve"> below its negative control in HEK.</w:t>
      </w:r>
    </w:p>
    <w:p>
      <w:pPr/>
      <w:r>
        <w:rPr>
          <w:b/>
        </w:rPr>
        <w:t xml:space="preserve">Best target lists: TargetScan top 200–500.</w:t>
      </w:r>
      <w:r>
        <w:t xml:space="preserve"> They are the best non-co-expression lists in all three datasets. miRDB (all, or top 50%) comes second, while very large lists (TargetScan all, mirDIP Medium+) and very small ones (miRTarBase high-confidence, miRDB top 5%) are clearly weaker. Co-expression lists look best in HEK, but their miR-122 negative-control versions score almost as high, so that gain is not miR-124-specific.</w:t>
      </w:r>
    </w:p>
    <w:p>
      <w:pPr/>
      <w:r>
        <w:t xml:space="preserve">All effects in PSCSR are small: the best method beats its random lists by only about 0.1 in Spearman rho, compared with about 0.5 in HEK.</w:t>
      </w:r>
    </w:p>
    <w:p>
      <w:pPr>
        <w:pStyle w:val="Heading2"/>
      </w:pPr>
      <w:r>
        <w:t xml:space="preserve">How to read the numbers</w:t>
      </w:r>
    </w:p>
    <w:p>
      <w:pPr/>
      <w:r>
        <w:t xml:space="preserve">Each method is judged by how far its benchmarked list beats two controls, not by its raw score. Raw scores carry method-specific offsets, which show up even for random genes.</w:t>
      </w:r>
    </w:p>
    <w:tbl>
      <w:tblPr>
        <w:tblStyle w:val="TableGrid"/>
        <w:tblW w:w="0" w:type="auto"/>
        <w:tblLayout w:type="fixed"/>
        <w:tblLook w:val="04A0" w:firstRow="1" w:lastRow="0" w:firstColumn="0" w:lastColumn="0" w:noHBand="0" w:noVBand="1"/>
      </w:tblPr>
      <w:tblGrid>
        <w:gridCol w:w="1065"/>
        <w:gridCol w:w="2861"/>
        <w:gridCol w:w="2798"/>
        <w:gridCol w:w="2634"/>
      </w:tblGrid>
      <w:tr>
        <w:trPr>
          <w:tblHeader/>
        </w:trPr>
        <w:tc>
          <w:tcPr>
            <w:tcW w:w="1065" w:type="dxa"/>
            <w:shd w:val="clear" w:color="auto" w:fill="F2F2F2"/>
          </w:tcPr>
          <w:p>
            <w:pPr/>
            <w:r>
              <w:t xml:space="preserve">Dataset</w:t>
            </w:r>
          </w:p>
        </w:tc>
        <w:tc>
          <w:tcPr>
            <w:tcW w:w="2861" w:type="dxa"/>
            <w:shd w:val="clear" w:color="auto" w:fill="F2F2F2"/>
          </w:tcPr>
          <w:p>
            <w:pPr/>
            <w:r>
              <w:t xml:space="preserve">Ground truth</w:t>
            </w:r>
          </w:p>
        </w:tc>
        <w:tc>
          <w:tcPr>
            <w:tcW w:w="2798" w:type="dxa"/>
            <w:shd w:val="clear" w:color="auto" w:fill="F2F2F2"/>
          </w:tcPr>
          <w:p>
            <w:pPr/>
            <w:r>
              <w:t xml:space="preserve">Metric</w:t>
            </w:r>
          </w:p>
        </w:tc>
        <w:tc>
          <w:tcPr>
            <w:tcW w:w="2634" w:type="dxa"/>
            <w:shd w:val="clear" w:color="auto" w:fill="F2F2F2"/>
          </w:tcPr>
          <w:p>
            <w:pPr/>
            <w:r>
              <w:t xml:space="preserve">Evaluations</w:t>
            </w:r>
          </w:p>
        </w:tc>
      </w:tr>
      <w:tr>
        <w:tc>
          <w:tcPr>
            <w:tcW w:w="1065" w:type="dxa"/>
          </w:tcPr>
          <w:p>
            <w:pPr/>
            <w:r>
              <w:t xml:space="preserve">mESC</w:t>
            </w:r>
          </w:p>
        </w:tc>
        <w:tc>
          <w:tcPr>
            <w:tcW w:w="2861" w:type="dxa"/>
          </w:tcPr>
          <w:p>
            <w:pPr/>
            <w:r>
              <w:t xml:space="preserve">Drosha KO vs Control</w:t>
            </w:r>
          </w:p>
        </w:tc>
        <w:tc>
          <w:tcPr>
            <w:tcW w:w="2798" w:type="dxa"/>
          </w:tcPr>
          <w:p>
            <w:pPr/>
            <w:r>
              <w:t xml:space="preserve">Balanced error (%), lower is better</w:t>
            </w:r>
          </w:p>
        </w:tc>
        <w:tc>
          <w:tcPr>
            <w:tcW w:w="2634" w:type="dxa"/>
          </w:tcPr>
          <w:p>
            <w:pPr/>
            <w:r>
              <w:t xml:space="preserve">1 (miR-17/291/292 combined)</w:t>
            </w:r>
          </w:p>
        </w:tc>
      </w:tr>
      <w:tr>
        <w:tc>
          <w:tcPr>
            <w:tcW w:w="1065" w:type="dxa"/>
          </w:tcPr>
          <w:p>
            <w:pPr/>
            <w:r>
              <w:t xml:space="preserve">HEK293</w:t>
            </w:r>
          </w:p>
        </w:tc>
        <w:tc>
          <w:tcPr>
            <w:tcW w:w="2861" w:type="dxa"/>
          </w:tcPr>
          <w:p>
            <w:pPr/>
            <w:r>
              <w:t xml:space="preserve">GFP fluorescence</w:t>
            </w:r>
          </w:p>
        </w:tc>
        <w:tc>
          <w:tcPr>
            <w:tcW w:w="2798" w:type="dxa"/>
          </w:tcPr>
          <w:p>
            <w:pPr/>
            <w:r>
              <w:t xml:space="preserve">Spearman rho, higher is better</w:t>
            </w:r>
          </w:p>
        </w:tc>
        <w:tc>
          <w:tcPr>
            <w:tcW w:w="2634" w:type="dxa"/>
          </w:tcPr>
          <w:p>
            <w:pPr/>
            <w:r>
              <w:t xml:space="preserve">1 per cell set (all, induced)</w:t>
            </w:r>
          </w:p>
        </w:tc>
      </w:tr>
      <w:tr>
        <w:tc>
          <w:tcPr>
            <w:tcW w:w="1065" w:type="dxa"/>
          </w:tcPr>
          <w:p>
            <w:pPr/>
            <w:r>
              <w:t xml:space="preserve">PSCSR</w:t>
            </w:r>
          </w:p>
        </w:tc>
        <w:tc>
          <w:tcPr>
            <w:tcW w:w="2861" w:type="dxa"/>
          </w:tcPr>
          <w:p>
            <w:pPr/>
            <w:r>
              <w:t xml:space="preserve">Measured miRNA family expression, within cell line</w:t>
            </w:r>
          </w:p>
        </w:tc>
        <w:tc>
          <w:tcPr>
            <w:tcW w:w="2798" w:type="dxa"/>
          </w:tcPr>
          <w:p>
            <w:pPr/>
            <w:r>
              <w:t xml:space="preserve">Spearman rho, higher is better</w:t>
            </w:r>
          </w:p>
        </w:tc>
        <w:tc>
          <w:tcPr>
            <w:tcW w:w="2634" w:type="dxa"/>
          </w:tcPr>
          <w:p>
            <w:pPr/>
            <w:r>
              <w:t xml:space="preserve">12 (cell line, family) pairs</w:t>
            </w:r>
          </w:p>
        </w:tc>
      </w:tr>
    </w:tbl>
    <w:p>
      <w:pPr>
        <w:pStyle w:val="ListParagraph"/>
        <w:numPr>
          <w:ilvl w:val="0"/>
          <w:numId w:val="4"/>
        </w:numPr>
      </w:pPr>
      <w:r>
        <w:rPr>
          <w:b/>
        </w:rPr>
        <w:t xml:space="preserve">Negative control:</w:t>
      </w:r>
      <w:r>
        <w:t xml:space="preserve"> the same list rule applied to miR-122-5p, after removing every known target of the benchmarked family.</w:t>
      </w:r>
    </w:p>
    <w:p>
      <w:pPr>
        <w:pStyle w:val="ListParagraph"/>
        <w:numPr>
          <w:ilvl w:val="0"/>
          <w:numId w:val="4"/>
        </w:numPr>
      </w:pPr>
      <w:r>
        <w:rPr>
          <w:b/>
        </w:rPr>
        <w:t xml:space="preserve">Random:</w:t>
      </w:r>
      <w:r>
        <w:t xml:space="preserve"> the mean of 10 same-size lists of non-target genes.</w:t>
      </w:r>
    </w:p>
    <w:p>
      <w:pPr>
        <w:pStyle w:val="ListParagraph"/>
        <w:numPr>
          <w:ilvl w:val="0"/>
          <w:numId w:val="4"/>
        </w:numPr>
      </w:pPr>
      <w:r>
        <w:rPr>
          <w:b/>
        </w:rPr>
        <w:t xml:space="preserve">vs control / vs random:</w:t>
      </w:r>
      <w:r>
        <w:t xml:space="preserve"> the benchmarked value minus the control's, oriented so that </w:t>
      </w:r>
      <w:r>
        <w:rPr>
          <w:b/>
        </w:rPr>
        <w:t xml:space="preserve">positive = better</w:t>
      </w:r>
      <w:r>
        <w:t xml:space="preserve">. For mESC this difference is in percentage points of balanced error, so +49 means 0.5% error against a chance-level 49.5%.</w:t>
      </w:r>
    </w:p>
    <w:p>
      <w:pPr/>
      <w:r>
        <w:t xml:space="preserve">The per-dataset tables below average TargetScan top 200 and top 500, the best list types overall (see Target databases). Methods without lists use their seed site or predicted miRNA level.</w:t>
      </w:r>
    </w:p>
    <w:p>
      <w:pPr>
        <w:pStyle w:val="Heading2"/>
      </w:pPr>
      <w:r>
        <w:t xml:space="preserve">mESC: Drosha KO vs Control</w:t>
      </w:r>
    </w:p>
    <w:p>
      <w:pPr/>
      <w:r>
        <w:t xml:space="preserve">With TargetScan top 200–500 lists, seven of the nine methods separate KO from Control almost perfectly (0.1–1.5% error), so mESC sets a floor but cannot rank the top methods.</w:t>
      </w:r>
    </w:p>
    <w:tbl>
      <w:tblPr>
        <w:tblStyle w:val="TableGrid"/>
        <w:tblW w:w="0" w:type="auto"/>
        <w:tblLayout w:type="fixed"/>
        <w:tblLook w:val="04A0" w:firstRow="1" w:lastRow="0" w:firstColumn="0" w:lastColumn="0" w:noHBand="0" w:noVBand="1"/>
      </w:tblPr>
      <w:tblGrid>
        <w:gridCol w:w="1912"/>
        <w:gridCol w:w="1192"/>
        <w:gridCol w:w="2162"/>
        <w:gridCol w:w="1516"/>
        <w:gridCol w:w="1266"/>
        <w:gridCol w:w="1312"/>
      </w:tblGrid>
      <w:tr>
        <w:trPr>
          <w:tblHeader/>
        </w:trPr>
        <w:tc>
          <w:tcPr>
            <w:tcW w:w="1912" w:type="dxa"/>
            <w:shd w:val="clear" w:color="auto" w:fill="F2F2F2"/>
          </w:tcPr>
          <w:p>
            <w:pPr/>
            <w:r>
              <w:t xml:space="preserve">Method</w:t>
            </w:r>
          </w:p>
        </w:tc>
        <w:tc>
          <w:tcPr>
            <w:tcW w:w="1192" w:type="dxa"/>
            <w:shd w:val="clear" w:color="auto" w:fill="F2F2F2"/>
          </w:tcPr>
          <w:p>
            <w:pPr/>
            <w:r>
              <w:t xml:space="preserve">Error (%)</w:t>
            </w:r>
          </w:p>
        </w:tc>
        <w:tc>
          <w:tcPr>
            <w:tcW w:w="2162" w:type="dxa"/>
            <w:shd w:val="clear" w:color="auto" w:fill="F2F2F2"/>
          </w:tcPr>
          <w:p>
            <w:pPr/>
            <w:r>
              <w:t xml:space="preserve">Negative control (%)</w:t>
            </w:r>
          </w:p>
        </w:tc>
        <w:tc>
          <w:tcPr>
            <w:tcW w:w="1516" w:type="dxa"/>
            <w:shd w:val="clear" w:color="auto" w:fill="F2F2F2"/>
          </w:tcPr>
          <w:p>
            <w:pPr/>
            <w:r>
              <w:t xml:space="preserve">Random (%)</w:t>
            </w:r>
          </w:p>
        </w:tc>
        <w:tc>
          <w:tcPr>
            <w:tcW w:w="1266" w:type="dxa"/>
            <w:shd w:val="clear" w:color="auto" w:fill="F2F2F2"/>
          </w:tcPr>
          <w:p>
            <w:pPr/>
            <w:r>
              <w:t xml:space="preserve">vs control</w:t>
            </w:r>
          </w:p>
        </w:tc>
        <w:tc>
          <w:tcPr>
            <w:tcW w:w="1312" w:type="dxa"/>
            <w:shd w:val="clear" w:color="auto" w:fill="F2F2F2"/>
          </w:tcPr>
          <w:p>
            <w:pPr/>
            <w:r>
              <w:t xml:space="preserve">vs random</w:t>
            </w:r>
          </w:p>
        </w:tc>
      </w:tr>
      <w:tr>
        <w:tc>
          <w:tcPr>
            <w:tcW w:w="1912" w:type="dxa"/>
          </w:tcPr>
          <w:p>
            <w:pPr/>
            <w:r>
              <w:t xml:space="preserve">Ours-D</w:t>
            </w:r>
          </w:p>
        </w:tc>
        <w:tc>
          <w:tcPr>
            <w:tcW w:w="1192" w:type="dxa"/>
          </w:tcPr>
          <w:p>
            <w:pPr/>
            <w:r>
              <w:t xml:space="preserve">0.3</w:t>
            </w:r>
          </w:p>
        </w:tc>
        <w:tc>
          <w:tcPr>
            <w:tcW w:w="2162" w:type="dxa"/>
          </w:tcPr>
          <w:p>
            <w:pPr/>
            <w:r>
              <w:t xml:space="preserve">48.6</w:t>
            </w:r>
          </w:p>
        </w:tc>
        <w:tc>
          <w:tcPr>
            <w:tcW w:w="1516" w:type="dxa"/>
          </w:tcPr>
          <w:p>
            <w:pPr/>
            <w:r>
              <w:t xml:space="preserve">49.3</w:t>
            </w:r>
          </w:p>
        </w:tc>
        <w:tc>
          <w:tcPr>
            <w:tcW w:w="1266" w:type="dxa"/>
          </w:tcPr>
          <w:p>
            <w:pPr/>
            <w:r>
              <w:t xml:space="preserve">+48.3</w:t>
            </w:r>
          </w:p>
        </w:tc>
        <w:tc>
          <w:tcPr>
            <w:tcW w:w="1312" w:type="dxa"/>
          </w:tcPr>
          <w:p>
            <w:pPr/>
            <w:r>
              <w:t xml:space="preserve">+49.0</w:t>
            </w:r>
          </w:p>
        </w:tc>
      </w:tr>
      <w:tr>
        <w:tc>
          <w:tcPr>
            <w:tcW w:w="1912" w:type="dxa"/>
          </w:tcPr>
          <w:p>
            <w:pPr/>
            <w:r>
              <w:t xml:space="preserve">miReact</w:t>
            </w:r>
          </w:p>
        </w:tc>
        <w:tc>
          <w:tcPr>
            <w:tcW w:w="1192" w:type="dxa"/>
          </w:tcPr>
          <w:p>
            <w:pPr/>
            <w:r>
              <w:t xml:space="preserve">0.5</w:t>
            </w:r>
          </w:p>
        </w:tc>
        <w:tc>
          <w:tcPr>
            <w:tcW w:w="2162" w:type="dxa"/>
          </w:tcPr>
          <w:p>
            <w:pPr/>
            <w:r>
              <w:t xml:space="preserve">48.2</w:t>
            </w:r>
          </w:p>
        </w:tc>
        <w:tc>
          <w:tcPr>
            <w:tcW w:w="1516" w:type="dxa"/>
          </w:tcPr>
          <w:p>
            <w:pPr/>
            <w:r>
              <w:t xml:space="preserve">49.2</w:t>
            </w:r>
          </w:p>
        </w:tc>
        <w:tc>
          <w:tcPr>
            <w:tcW w:w="1266" w:type="dxa"/>
          </w:tcPr>
          <w:p>
            <w:pPr/>
            <w:r>
              <w:t xml:space="preserve">+47.8</w:t>
            </w:r>
          </w:p>
        </w:tc>
        <w:tc>
          <w:tcPr>
            <w:tcW w:w="1312" w:type="dxa"/>
          </w:tcPr>
          <w:p>
            <w:pPr/>
            <w:r>
              <w:t xml:space="preserve">+48.7</w:t>
            </w:r>
          </w:p>
        </w:tc>
      </w:tr>
      <w:tr>
        <w:tc>
          <w:tcPr>
            <w:tcW w:w="1912" w:type="dxa"/>
          </w:tcPr>
          <w:p>
            <w:pPr/>
            <w:r>
              <w:t xml:space="preserve">miTEA-HiRes</w:t>
            </w:r>
          </w:p>
        </w:tc>
        <w:tc>
          <w:tcPr>
            <w:tcW w:w="1192" w:type="dxa"/>
          </w:tcPr>
          <w:p>
            <w:pPr/>
            <w:r>
              <w:t xml:space="preserve">1.5</w:t>
            </w:r>
          </w:p>
        </w:tc>
        <w:tc>
          <w:tcPr>
            <w:tcW w:w="2162" w:type="dxa"/>
          </w:tcPr>
          <w:p>
            <w:pPr/>
            <w:r>
              <w:t xml:space="preserve">48.3</w:t>
            </w:r>
          </w:p>
        </w:tc>
        <w:tc>
          <w:tcPr>
            <w:tcW w:w="1516" w:type="dxa"/>
          </w:tcPr>
          <w:p>
            <w:pPr/>
            <w:r>
              <w:t xml:space="preserve">49.5</w:t>
            </w:r>
          </w:p>
        </w:tc>
        <w:tc>
          <w:tcPr>
            <w:tcW w:w="1266" w:type="dxa"/>
          </w:tcPr>
          <w:p>
            <w:pPr/>
            <w:r>
              <w:t xml:space="preserve">+46.9</w:t>
            </w:r>
          </w:p>
        </w:tc>
        <w:tc>
          <w:tcPr>
            <w:tcW w:w="1312" w:type="dxa"/>
          </w:tcPr>
          <w:p>
            <w:pPr/>
            <w:r>
              <w:t xml:space="preserve">+48.0</w:t>
            </w:r>
          </w:p>
        </w:tc>
      </w:tr>
      <w:tr>
        <w:tc>
          <w:tcPr>
            <w:tcW w:w="1912" w:type="dxa"/>
          </w:tcPr>
          <w:p>
            <w:pPr/>
            <w:r>
              <w:t xml:space="preserve">miReact (motif)</w:t>
            </w:r>
          </w:p>
        </w:tc>
        <w:tc>
          <w:tcPr>
            <w:tcW w:w="1192" w:type="dxa"/>
          </w:tcPr>
          <w:p>
            <w:pPr/>
            <w:r>
              <w:t xml:space="preserve">0.4</w:t>
            </w:r>
          </w:p>
        </w:tc>
        <w:tc>
          <w:tcPr>
            <w:tcW w:w="2162" w:type="dxa"/>
          </w:tcPr>
          <w:p>
            <w:pPr/>
            <w:r>
              <w:t xml:space="preserve">39.0</w:t>
            </w:r>
          </w:p>
        </w:tc>
        <w:tc>
          <w:tcPr>
            <w:tcW w:w="1516" w:type="dxa"/>
          </w:tcPr>
          <w:p>
            <w:pPr/>
            <w:r>
              <w:t xml:space="preserve">47.3</w:t>
            </w:r>
          </w:p>
        </w:tc>
        <w:tc>
          <w:tcPr>
            <w:tcW w:w="1266" w:type="dxa"/>
          </w:tcPr>
          <w:p>
            <w:pPr/>
            <w:r>
              <w:t xml:space="preserve">+38.6</w:t>
            </w:r>
          </w:p>
        </w:tc>
        <w:tc>
          <w:tcPr>
            <w:tcW w:w="1312" w:type="dxa"/>
          </w:tcPr>
          <w:p>
            <w:pPr/>
            <w:r>
              <w:t xml:space="preserve">+46.9</w:t>
            </w:r>
          </w:p>
        </w:tc>
      </w:tr>
      <w:tr>
        <w:tc>
          <w:tcPr>
            <w:tcW w:w="1912" w:type="dxa"/>
          </w:tcPr>
          <w:p>
            <w:pPr/>
            <w:r>
              <w:t xml:space="preserve">Ours-A</w:t>
            </w:r>
          </w:p>
        </w:tc>
        <w:tc>
          <w:tcPr>
            <w:tcW w:w="1192" w:type="dxa"/>
          </w:tcPr>
          <w:p>
            <w:pPr/>
            <w:r>
              <w:t xml:space="preserve">0.6</w:t>
            </w:r>
          </w:p>
        </w:tc>
        <w:tc>
          <w:tcPr>
            <w:tcW w:w="2162" w:type="dxa"/>
          </w:tcPr>
          <w:p>
            <w:pPr/>
            <w:r>
              <w:t xml:space="preserve">49.8</w:t>
            </w:r>
          </w:p>
        </w:tc>
        <w:tc>
          <w:tcPr>
            <w:tcW w:w="1516" w:type="dxa"/>
          </w:tcPr>
          <w:p>
            <w:pPr/>
            <w:r>
              <w:t xml:space="preserve">47.1</w:t>
            </w:r>
          </w:p>
        </w:tc>
        <w:tc>
          <w:tcPr>
            <w:tcW w:w="1266" w:type="dxa"/>
          </w:tcPr>
          <w:p>
            <w:pPr/>
            <w:r>
              <w:t xml:space="preserve">+49.2</w:t>
            </w:r>
          </w:p>
        </w:tc>
        <w:tc>
          <w:tcPr>
            <w:tcW w:w="1312" w:type="dxa"/>
          </w:tcPr>
          <w:p>
            <w:pPr/>
            <w:r>
              <w:t xml:space="preserve">+46.5</w:t>
            </w:r>
          </w:p>
        </w:tc>
      </w:tr>
      <w:tr>
        <w:tc>
          <w:tcPr>
            <w:tcW w:w="1912" w:type="dxa"/>
          </w:tcPr>
          <w:p>
            <w:pPr/>
            <w:r>
              <w:t xml:space="preserve">Ours-C2</w:t>
            </w:r>
          </w:p>
        </w:tc>
        <w:tc>
          <w:tcPr>
            <w:tcW w:w="1192" w:type="dxa"/>
          </w:tcPr>
          <w:p>
            <w:pPr/>
            <w:r>
              <w:t xml:space="preserve">0.8</w:t>
            </w:r>
          </w:p>
        </w:tc>
        <w:tc>
          <w:tcPr>
            <w:tcW w:w="2162" w:type="dxa"/>
          </w:tcPr>
          <w:p>
            <w:pPr/>
            <w:r>
              <w:t xml:space="preserve">46.1</w:t>
            </w:r>
          </w:p>
        </w:tc>
        <w:tc>
          <w:tcPr>
            <w:tcW w:w="1516" w:type="dxa"/>
          </w:tcPr>
          <w:p>
            <w:pPr/>
            <w:r>
              <w:t xml:space="preserve">46.6</w:t>
            </w:r>
          </w:p>
        </w:tc>
        <w:tc>
          <w:tcPr>
            <w:tcW w:w="1266" w:type="dxa"/>
          </w:tcPr>
          <w:p>
            <w:pPr/>
            <w:r>
              <w:t xml:space="preserve">+45.3</w:t>
            </w:r>
          </w:p>
        </w:tc>
        <w:tc>
          <w:tcPr>
            <w:tcW w:w="1312" w:type="dxa"/>
          </w:tcPr>
          <w:p>
            <w:pPr/>
            <w:r>
              <w:t xml:space="preserve">+45.8</w:t>
            </w:r>
          </w:p>
        </w:tc>
      </w:tr>
      <w:tr>
        <w:tc>
          <w:tcPr>
            <w:tcW w:w="1912" w:type="dxa"/>
          </w:tcPr>
          <w:p>
            <w:pPr/>
            <w:r>
              <w:t xml:space="preserve">bayesReact</w:t>
            </w:r>
          </w:p>
        </w:tc>
        <w:tc>
          <w:tcPr>
            <w:tcW w:w="1192" w:type="dxa"/>
          </w:tcPr>
          <w:p>
            <w:pPr/>
            <w:r>
              <w:t xml:space="preserve">0.1</w:t>
            </w:r>
          </w:p>
        </w:tc>
        <w:tc>
          <w:tcPr>
            <w:tcW w:w="2162" w:type="dxa"/>
          </w:tcPr>
          <w:p>
            <w:pPr/>
            <w:r>
              <w:t xml:space="preserve">44.2</w:t>
            </w:r>
          </w:p>
        </w:tc>
        <w:tc>
          <w:tcPr>
            <w:tcW w:w="1516" w:type="dxa"/>
          </w:tcPr>
          <w:p>
            <w:pPr/>
            <w:r>
              <w:t xml:space="preserve">45.9</w:t>
            </w:r>
          </w:p>
        </w:tc>
        <w:tc>
          <w:tcPr>
            <w:tcW w:w="1266" w:type="dxa"/>
          </w:tcPr>
          <w:p>
            <w:pPr/>
            <w:r>
              <w:t xml:space="preserve">+44.1</w:t>
            </w:r>
          </w:p>
        </w:tc>
        <w:tc>
          <w:tcPr>
            <w:tcW w:w="1312" w:type="dxa"/>
          </w:tcPr>
          <w:p>
            <w:pPr/>
            <w:r>
              <w:t xml:space="preserve">+45.8</w:t>
            </w:r>
          </w:p>
        </w:tc>
      </w:tr>
      <w:tr>
        <w:tc>
          <w:tcPr>
            <w:tcW w:w="1912" w:type="dxa"/>
          </w:tcPr>
          <w:p>
            <w:pPr/>
            <w:r>
              <w:t xml:space="preserve">Ours-C</w:t>
            </w:r>
          </w:p>
        </w:tc>
        <w:tc>
          <w:tcPr>
            <w:tcW w:w="1192" w:type="dxa"/>
          </w:tcPr>
          <w:p>
            <w:pPr/>
            <w:r>
              <w:t xml:space="preserve">2.7</w:t>
            </w:r>
          </w:p>
        </w:tc>
        <w:tc>
          <w:tcPr>
            <w:tcW w:w="2162" w:type="dxa"/>
          </w:tcPr>
          <w:p>
            <w:pPr/>
            <w:r>
              <w:t xml:space="preserve">46.1</w:t>
            </w:r>
          </w:p>
        </w:tc>
        <w:tc>
          <w:tcPr>
            <w:tcW w:w="1516" w:type="dxa"/>
          </w:tcPr>
          <w:p>
            <w:pPr/>
            <w:r>
              <w:t xml:space="preserve">46.9</w:t>
            </w:r>
          </w:p>
        </w:tc>
        <w:tc>
          <w:tcPr>
            <w:tcW w:w="1266" w:type="dxa"/>
          </w:tcPr>
          <w:p>
            <w:pPr/>
            <w:r>
              <w:t xml:space="preserve">+43.5</w:t>
            </w:r>
          </w:p>
        </w:tc>
        <w:tc>
          <w:tcPr>
            <w:tcW w:w="1312" w:type="dxa"/>
          </w:tcPr>
          <w:p>
            <w:pPr/>
            <w:r>
              <w:t xml:space="preserve">+44.2</w:t>
            </w:r>
          </w:p>
        </w:tc>
      </w:tr>
      <w:tr>
        <w:tc>
          <w:tcPr>
            <w:tcW w:w="1912" w:type="dxa"/>
          </w:tcPr>
          <w:p>
            <w:pPr/>
            <w:r>
              <w:t xml:space="preserve">Ours-B</w:t>
            </w:r>
          </w:p>
        </w:tc>
        <w:tc>
          <w:tcPr>
            <w:tcW w:w="1192" w:type="dxa"/>
          </w:tcPr>
          <w:p>
            <w:pPr/>
            <w:r>
              <w:t xml:space="preserve">21.0</w:t>
            </w:r>
          </w:p>
        </w:tc>
        <w:tc>
          <w:tcPr>
            <w:tcW w:w="2162" w:type="dxa"/>
          </w:tcPr>
          <w:p>
            <w:pPr/>
            <w:r>
              <w:t xml:space="preserve">46.9</w:t>
            </w:r>
          </w:p>
        </w:tc>
        <w:tc>
          <w:tcPr>
            <w:tcW w:w="1516" w:type="dxa"/>
          </w:tcPr>
          <w:p>
            <w:pPr/>
            <w:r>
              <w:t xml:space="preserve">44.6</w:t>
            </w:r>
          </w:p>
        </w:tc>
        <w:tc>
          <w:tcPr>
            <w:tcW w:w="1266" w:type="dxa"/>
          </w:tcPr>
          <w:p>
            <w:pPr/>
            <w:r>
              <w:t xml:space="preserve">+25.9</w:t>
            </w:r>
          </w:p>
        </w:tc>
        <w:tc>
          <w:tcPr>
            <w:tcW w:w="1312" w:type="dxa"/>
          </w:tcPr>
          <w:p>
            <w:pPr/>
            <w:r>
              <w:t xml:space="preserve">+23.6</w:t>
            </w:r>
          </w:p>
        </w:tc>
      </w:tr>
    </w:tbl>
    <w:p>
      <w:pPr>
        <w:pStyle w:val="ListParagraph"/>
        <w:numPr>
          <w:ilvl w:val="0"/>
          <w:numId w:val="5"/>
        </w:numPr>
      </w:pPr>
      <w:r>
        <w:rPr>
          <w:b/>
        </w:rPr>
        <w:t xml:space="preserve">Ours-B is the clear failure:</w:t>
      </w:r>
      <w:r>
        <w:t xml:space="preserve"> 20–40% error on every list type. Its random lists also separate a little (40–45%), so it picks up a KO/Control difference unrelated to miRNA targets.</w:t>
      </w:r>
    </w:p>
    <w:p>
      <w:pPr>
        <w:pStyle w:val="ListParagraph"/>
        <w:numPr>
          <w:ilvl w:val="0"/>
          <w:numId w:val="5"/>
        </w:numPr>
      </w:pPr>
      <w:r>
        <w:rPr>
          <w:b/>
        </w:rPr>
        <w:t xml:space="preserve">The miR-122 site is not fully neutral.</w:t>
      </w:r>
      <w:r>
        <w:t xml:space="preserve"> miReact motif mode scores it at 39% error and bayesReact at 44%, so for motif methods the negative control already separates KO from Control somewhat.</w:t>
      </w:r>
    </w:p>
    <w:p>
      <w:pPr>
        <w:pStyle w:val="ListParagraph"/>
        <w:numPr>
          <w:ilvl w:val="0"/>
          <w:numId w:val="5"/>
        </w:numPr>
      </w:pPr>
      <w:r>
        <w:rPr>
          <w:b/>
        </w:rPr>
        <w:t xml:space="preserve">List type matters more than method:</w:t>
      </w:r>
    </w:p>
    <w:p>
      <w:pPr>
        <w:pStyle w:val="ListParagraph"/>
        <w:numPr>
          <w:ilvl w:val="1"/>
          <w:numId w:val="6"/>
        </w:numPr>
      </w:pPr>
      <w:r>
        <w:t xml:space="preserve">TargetScan top 200–1000 and miRDB all / top 50% give 0.3–2.4% error with the good methods.</w:t>
      </w:r>
    </w:p>
    <w:p>
      <w:pPr>
        <w:pStyle w:val="ListParagraph"/>
        <w:numPr>
          <w:ilvl w:val="1"/>
          <w:numId w:val="6"/>
        </w:numPr>
      </w:pPr>
      <w:r>
        <w:t xml:space="preserve">TarBase gives 20–36% (except TarBase ∩ TargetScan, 5–7%).</w:t>
      </w:r>
    </w:p>
    <w:p>
      <w:pPr>
        <w:pStyle w:val="ListParagraph"/>
        <w:numPr>
          <w:ilvl w:val="1"/>
          <w:numId w:val="6"/>
        </w:numPr>
      </w:pPr>
      <w:r>
        <w:t xml:space="preserve">miRTarBase high / very high gives 24–42%.</w:t>
      </w:r>
    </w:p>
    <w:p>
      <w:pPr>
        <w:pStyle w:val="ListParagraph"/>
        <w:numPr>
          <w:ilvl w:val="1"/>
          <w:numId w:val="6"/>
        </w:numPr>
      </w:pPr>
      <w:r>
        <w:t xml:space="preserve">Co-expression lists sit at chance (48–50%).</w:t>
      </w:r>
    </w:p>
    <w:p>
      <w:pPr>
        <w:pStyle w:val="Heading2"/>
      </w:pPr>
      <w:r>
        <w:t xml:space="preserve">HEK293: miR-124 vs GFP fluorescence</w:t>
      </w:r>
    </w:p>
    <w:p>
      <w:pPr/>
      <w:r>
        <w:t xml:space="preserve">In Dox-induced cells, bayesReact and miReact motif mode beat their random controls by the most (+0.58, +0.54), with Ours-B, Ours-A, Ours-D and miTEA-HiRes close behind (+0.48 to +0.53). Including uninduced cells raises every rho (TargetScan top 200: 0.69–0.80) because the on/off contrast is easy, so the induced set is the informative one.</w:t>
      </w:r>
    </w:p>
    <w:tbl>
      <w:tblPr>
        <w:tblStyle w:val="TableGrid"/>
        <w:tblW w:w="0" w:type="auto"/>
        <w:tblLayout w:type="fixed"/>
        <w:tblLook w:val="04A0" w:firstRow="1" w:lastRow="0" w:firstColumn="0" w:lastColumn="0" w:noHBand="0" w:noVBand="1"/>
      </w:tblPr>
      <w:tblGrid>
        <w:gridCol w:w="2619"/>
        <w:gridCol w:w="1406"/>
        <w:gridCol w:w="1683"/>
        <w:gridCol w:w="1074"/>
        <w:gridCol w:w="1266"/>
        <w:gridCol w:w="1312"/>
      </w:tblGrid>
      <w:tr>
        <w:trPr>
          <w:tblHeader/>
        </w:trPr>
        <w:tc>
          <w:tcPr>
            <w:tcW w:w="2619" w:type="dxa"/>
            <w:shd w:val="clear" w:color="auto" w:fill="F2F2F2"/>
          </w:tcPr>
          <w:p>
            <w:pPr/>
            <w:r>
              <w:t xml:space="preserve">Method (induced cells)</w:t>
            </w:r>
          </w:p>
        </w:tc>
        <w:tc>
          <w:tcPr>
            <w:tcW w:w="1406" w:type="dxa"/>
            <w:shd w:val="clear" w:color="auto" w:fill="F2F2F2"/>
          </w:tcPr>
          <w:p>
            <w:pPr/>
            <w:r>
              <w:t xml:space="preserve">Spearman rho</w:t>
            </w:r>
          </w:p>
        </w:tc>
        <w:tc>
          <w:tcPr>
            <w:tcW w:w="1683" w:type="dxa"/>
            <w:shd w:val="clear" w:color="auto" w:fill="F2F2F2"/>
          </w:tcPr>
          <w:p>
            <w:pPr/>
            <w:r>
              <w:t xml:space="preserve">Negative control</w:t>
            </w:r>
          </w:p>
        </w:tc>
        <w:tc>
          <w:tcPr>
            <w:tcW w:w="1074" w:type="dxa"/>
            <w:shd w:val="clear" w:color="auto" w:fill="F2F2F2"/>
          </w:tcPr>
          <w:p>
            <w:pPr/>
            <w:r>
              <w:t xml:space="preserve">Random</w:t>
            </w:r>
          </w:p>
        </w:tc>
        <w:tc>
          <w:tcPr>
            <w:tcW w:w="1266" w:type="dxa"/>
            <w:shd w:val="clear" w:color="auto" w:fill="F2F2F2"/>
          </w:tcPr>
          <w:p>
            <w:pPr/>
            <w:r>
              <w:t xml:space="preserve">vs control</w:t>
            </w:r>
          </w:p>
        </w:tc>
        <w:tc>
          <w:tcPr>
            <w:tcW w:w="1312" w:type="dxa"/>
            <w:shd w:val="clear" w:color="auto" w:fill="F2F2F2"/>
          </w:tcPr>
          <w:p>
            <w:pPr/>
            <w:r>
              <w:t xml:space="preserve">vs random</w:t>
            </w:r>
          </w:p>
        </w:tc>
      </w:tr>
      <w:tr>
        <w:tc>
          <w:tcPr>
            <w:tcW w:w="2619" w:type="dxa"/>
          </w:tcPr>
          <w:p>
            <w:pPr/>
            <w:r>
              <w:t xml:space="preserve">bayesReact</w:t>
            </w:r>
          </w:p>
        </w:tc>
        <w:tc>
          <w:tcPr>
            <w:tcW w:w="1406" w:type="dxa"/>
          </w:tcPr>
          <w:p>
            <w:pPr/>
            <w:r>
              <w:t xml:space="preserve">0.55</w:t>
            </w:r>
          </w:p>
        </w:tc>
        <w:tc>
          <w:tcPr>
            <w:tcW w:w="1683" w:type="dxa"/>
          </w:tcPr>
          <w:p>
            <w:pPr/>
            <w:r>
              <w:t xml:space="preserve">0.05</w:t>
            </w:r>
          </w:p>
        </w:tc>
        <w:tc>
          <w:tcPr>
            <w:tcW w:w="1074" w:type="dxa"/>
          </w:tcPr>
          <w:p>
            <w:pPr/>
            <w:r>
              <w:t xml:space="preserve">−0.03</w:t>
            </w:r>
          </w:p>
        </w:tc>
        <w:tc>
          <w:tcPr>
            <w:tcW w:w="1266" w:type="dxa"/>
          </w:tcPr>
          <w:p>
            <w:pPr/>
            <w:r>
              <w:t xml:space="preserve">+0.50</w:t>
            </w:r>
          </w:p>
        </w:tc>
        <w:tc>
          <w:tcPr>
            <w:tcW w:w="1312" w:type="dxa"/>
          </w:tcPr>
          <w:p>
            <w:pPr/>
            <w:r>
              <w:t xml:space="preserve">+0.58</w:t>
            </w:r>
          </w:p>
        </w:tc>
      </w:tr>
      <w:tr>
        <w:tc>
          <w:tcPr>
            <w:tcW w:w="2619" w:type="dxa"/>
          </w:tcPr>
          <w:p>
            <w:pPr/>
            <w:r>
              <w:t xml:space="preserve">miReact (motif)</w:t>
            </w:r>
          </w:p>
        </w:tc>
        <w:tc>
          <w:tcPr>
            <w:tcW w:w="1406" w:type="dxa"/>
          </w:tcPr>
          <w:p>
            <w:pPr/>
            <w:r>
              <w:t xml:space="preserve">0.54</w:t>
            </w:r>
          </w:p>
        </w:tc>
        <w:tc>
          <w:tcPr>
            <w:tcW w:w="1683" w:type="dxa"/>
          </w:tcPr>
          <w:p>
            <w:pPr/>
            <w:r>
              <w:t xml:space="preserve">0.10</w:t>
            </w:r>
          </w:p>
        </w:tc>
        <w:tc>
          <w:tcPr>
            <w:tcW w:w="1074" w:type="dxa"/>
          </w:tcPr>
          <w:p>
            <w:pPr/>
            <w:r>
              <w:t xml:space="preserve">−0.01</w:t>
            </w:r>
          </w:p>
        </w:tc>
        <w:tc>
          <w:tcPr>
            <w:tcW w:w="1266" w:type="dxa"/>
          </w:tcPr>
          <w:p>
            <w:pPr/>
            <w:r>
              <w:t xml:space="preserve">+0.44</w:t>
            </w:r>
          </w:p>
        </w:tc>
        <w:tc>
          <w:tcPr>
            <w:tcW w:w="1312" w:type="dxa"/>
          </w:tcPr>
          <w:p>
            <w:pPr/>
            <w:r>
              <w:t xml:space="preserve">+0.54</w:t>
            </w:r>
          </w:p>
        </w:tc>
      </w:tr>
      <w:tr>
        <w:tc>
          <w:tcPr>
            <w:tcW w:w="2619" w:type="dxa"/>
          </w:tcPr>
          <w:p>
            <w:pPr/>
            <w:r>
              <w:t xml:space="preserve">Ours-B</w:t>
            </w:r>
          </w:p>
        </w:tc>
        <w:tc>
          <w:tcPr>
            <w:tcW w:w="1406" w:type="dxa"/>
          </w:tcPr>
          <w:p>
            <w:pPr/>
            <w:r>
              <w:t xml:space="preserve">0.43</w:t>
            </w:r>
          </w:p>
        </w:tc>
        <w:tc>
          <w:tcPr>
            <w:tcW w:w="1683" w:type="dxa"/>
          </w:tcPr>
          <w:p>
            <w:pPr/>
            <w:r>
              <w:t xml:space="preserve">−0.20</w:t>
            </w:r>
          </w:p>
        </w:tc>
        <w:tc>
          <w:tcPr>
            <w:tcW w:w="1074" w:type="dxa"/>
          </w:tcPr>
          <w:p>
            <w:pPr/>
            <w:r>
              <w:t xml:space="preserve">−0.10</w:t>
            </w:r>
          </w:p>
        </w:tc>
        <w:tc>
          <w:tcPr>
            <w:tcW w:w="1266" w:type="dxa"/>
          </w:tcPr>
          <w:p>
            <w:pPr/>
            <w:r>
              <w:t xml:space="preserve">+0.63</w:t>
            </w:r>
          </w:p>
        </w:tc>
        <w:tc>
          <w:tcPr>
            <w:tcW w:w="1312" w:type="dxa"/>
          </w:tcPr>
          <w:p>
            <w:pPr/>
            <w:r>
              <w:t xml:space="preserve">+0.53</w:t>
            </w:r>
          </w:p>
        </w:tc>
      </w:tr>
      <w:tr>
        <w:tc>
          <w:tcPr>
            <w:tcW w:w="2619" w:type="dxa"/>
          </w:tcPr>
          <w:p>
            <w:pPr/>
            <w:r>
              <w:t xml:space="preserve">Ours-A</w:t>
            </w:r>
          </w:p>
        </w:tc>
        <w:tc>
          <w:tcPr>
            <w:tcW w:w="1406" w:type="dxa"/>
          </w:tcPr>
          <w:p>
            <w:pPr/>
            <w:r>
              <w:t xml:space="preserve">0.58</w:t>
            </w:r>
          </w:p>
        </w:tc>
        <w:tc>
          <w:tcPr>
            <w:tcW w:w="1683" w:type="dxa"/>
          </w:tcPr>
          <w:p>
            <w:pPr/>
            <w:r>
              <w:t xml:space="preserve">0.11</w:t>
            </w:r>
          </w:p>
        </w:tc>
        <w:tc>
          <w:tcPr>
            <w:tcW w:w="1074" w:type="dxa"/>
          </w:tcPr>
          <w:p>
            <w:pPr/>
            <w:r>
              <w:t xml:space="preserve">0.08</w:t>
            </w:r>
          </w:p>
        </w:tc>
        <w:tc>
          <w:tcPr>
            <w:tcW w:w="1266" w:type="dxa"/>
          </w:tcPr>
          <w:p>
            <w:pPr/>
            <w:r>
              <w:t xml:space="preserve">+0.47</w:t>
            </w:r>
          </w:p>
        </w:tc>
        <w:tc>
          <w:tcPr>
            <w:tcW w:w="1312" w:type="dxa"/>
          </w:tcPr>
          <w:p>
            <w:pPr/>
            <w:r>
              <w:t xml:space="preserve">+0.50</w:t>
            </w:r>
          </w:p>
        </w:tc>
      </w:tr>
      <w:tr>
        <w:tc>
          <w:tcPr>
            <w:tcW w:w="2619" w:type="dxa"/>
          </w:tcPr>
          <w:p>
            <w:pPr/>
            <w:r>
              <w:t xml:space="preserve">Ours-D</w:t>
            </w:r>
          </w:p>
        </w:tc>
        <w:tc>
          <w:tcPr>
            <w:tcW w:w="1406" w:type="dxa"/>
          </w:tcPr>
          <w:p>
            <w:pPr/>
            <w:r>
              <w:t xml:space="preserve">0.49</w:t>
            </w:r>
          </w:p>
        </w:tc>
        <w:tc>
          <w:tcPr>
            <w:tcW w:w="1683" w:type="dxa"/>
          </w:tcPr>
          <w:p>
            <w:pPr/>
            <w:r>
              <w:t xml:space="preserve">−0.10</w:t>
            </w:r>
          </w:p>
        </w:tc>
        <w:tc>
          <w:tcPr>
            <w:tcW w:w="1074" w:type="dxa"/>
          </w:tcPr>
          <w:p>
            <w:pPr/>
            <w:r>
              <w:t xml:space="preserve">0.01</w:t>
            </w:r>
          </w:p>
        </w:tc>
        <w:tc>
          <w:tcPr>
            <w:tcW w:w="1266" w:type="dxa"/>
          </w:tcPr>
          <w:p>
            <w:pPr/>
            <w:r>
              <w:t xml:space="preserve">+0.59</w:t>
            </w:r>
          </w:p>
        </w:tc>
        <w:tc>
          <w:tcPr>
            <w:tcW w:w="1312" w:type="dxa"/>
          </w:tcPr>
          <w:p>
            <w:pPr/>
            <w:r>
              <w:t xml:space="preserve">+0.48</w:t>
            </w:r>
          </w:p>
        </w:tc>
      </w:tr>
      <w:tr>
        <w:tc>
          <w:tcPr>
            <w:tcW w:w="2619" w:type="dxa"/>
          </w:tcPr>
          <w:p>
            <w:pPr/>
            <w:r>
              <w:t xml:space="preserve">miTEA-HiRes</w:t>
            </w:r>
          </w:p>
        </w:tc>
        <w:tc>
          <w:tcPr>
            <w:tcW w:w="1406" w:type="dxa"/>
          </w:tcPr>
          <w:p>
            <w:pPr/>
            <w:r>
              <w:t xml:space="preserve">0.51</w:t>
            </w:r>
          </w:p>
        </w:tc>
        <w:tc>
          <w:tcPr>
            <w:tcW w:w="1683" w:type="dxa"/>
          </w:tcPr>
          <w:p>
            <w:pPr/>
            <w:r>
              <w:t xml:space="preserve">−0.06</w:t>
            </w:r>
          </w:p>
        </w:tc>
        <w:tc>
          <w:tcPr>
            <w:tcW w:w="1074" w:type="dxa"/>
          </w:tcPr>
          <w:p>
            <w:pPr/>
            <w:r>
              <w:t xml:space="preserve">0.03</w:t>
            </w:r>
          </w:p>
        </w:tc>
        <w:tc>
          <w:tcPr>
            <w:tcW w:w="1266" w:type="dxa"/>
          </w:tcPr>
          <w:p>
            <w:pPr/>
            <w:r>
              <w:t xml:space="preserve">+0.57</w:t>
            </w:r>
          </w:p>
        </w:tc>
        <w:tc>
          <w:tcPr>
            <w:tcW w:w="1312" w:type="dxa"/>
          </w:tcPr>
          <w:p>
            <w:pPr/>
            <w:r>
              <w:t xml:space="preserve">+0.48</w:t>
            </w:r>
          </w:p>
        </w:tc>
      </w:tr>
      <w:tr>
        <w:tc>
          <w:tcPr>
            <w:tcW w:w="2619" w:type="dxa"/>
          </w:tcPr>
          <w:p>
            <w:pPr/>
            <w:r>
              <w:t xml:space="preserve">Ours-C2</w:t>
            </w:r>
          </w:p>
        </w:tc>
        <w:tc>
          <w:tcPr>
            <w:tcW w:w="1406" w:type="dxa"/>
          </w:tcPr>
          <w:p>
            <w:pPr/>
            <w:r>
              <w:t xml:space="preserve">0.44</w:t>
            </w:r>
          </w:p>
        </w:tc>
        <w:tc>
          <w:tcPr>
            <w:tcW w:w="1683" w:type="dxa"/>
          </w:tcPr>
          <w:p>
            <w:pPr/>
            <w:r>
              <w:t xml:space="preserve">−0.18</w:t>
            </w:r>
          </w:p>
        </w:tc>
        <w:tc>
          <w:tcPr>
            <w:tcW w:w="1074" w:type="dxa"/>
          </w:tcPr>
          <w:p>
            <w:pPr/>
            <w:r>
              <w:t xml:space="preserve">−0.03</w:t>
            </w:r>
          </w:p>
        </w:tc>
        <w:tc>
          <w:tcPr>
            <w:tcW w:w="1266" w:type="dxa"/>
          </w:tcPr>
          <w:p>
            <w:pPr/>
            <w:r>
              <w:t xml:space="preserve">+0.61</w:t>
            </w:r>
          </w:p>
        </w:tc>
        <w:tc>
          <w:tcPr>
            <w:tcW w:w="1312" w:type="dxa"/>
          </w:tcPr>
          <w:p>
            <w:pPr/>
            <w:r>
              <w:t xml:space="preserve">+0.46</w:t>
            </w:r>
          </w:p>
        </w:tc>
      </w:tr>
      <w:tr>
        <w:tc>
          <w:tcPr>
            <w:tcW w:w="2619" w:type="dxa"/>
          </w:tcPr>
          <w:p>
            <w:pPr/>
            <w:r>
              <w:t xml:space="preserve">miReact</w:t>
            </w:r>
          </w:p>
        </w:tc>
        <w:tc>
          <w:tcPr>
            <w:tcW w:w="1406" w:type="dxa"/>
          </w:tcPr>
          <w:p>
            <w:pPr/>
            <w:r>
              <w:t xml:space="preserve">0.43</w:t>
            </w:r>
          </w:p>
        </w:tc>
        <w:tc>
          <w:tcPr>
            <w:tcW w:w="1683" w:type="dxa"/>
          </w:tcPr>
          <w:p>
            <w:pPr/>
            <w:r>
              <w:t xml:space="preserve">−0.09</w:t>
            </w:r>
          </w:p>
        </w:tc>
        <w:tc>
          <w:tcPr>
            <w:tcW w:w="1074" w:type="dxa"/>
          </w:tcPr>
          <w:p>
            <w:pPr/>
            <w:r>
              <w:t xml:space="preserve">0.05</w:t>
            </w:r>
          </w:p>
        </w:tc>
        <w:tc>
          <w:tcPr>
            <w:tcW w:w="1266" w:type="dxa"/>
          </w:tcPr>
          <w:p>
            <w:pPr/>
            <w:r>
              <w:t xml:space="preserve">+0.53</w:t>
            </w:r>
          </w:p>
        </w:tc>
        <w:tc>
          <w:tcPr>
            <w:tcW w:w="1312" w:type="dxa"/>
          </w:tcPr>
          <w:p>
            <w:pPr/>
            <w:r>
              <w:t xml:space="preserve">+0.38</w:t>
            </w:r>
          </w:p>
        </w:tc>
      </w:tr>
      <w:tr>
        <w:tc>
          <w:tcPr>
            <w:tcW w:w="2619" w:type="dxa"/>
          </w:tcPr>
          <w:p>
            <w:pPr/>
            <w:r>
              <w:t xml:space="preserve">Ours-C</w:t>
            </w:r>
          </w:p>
        </w:tc>
        <w:tc>
          <w:tcPr>
            <w:tcW w:w="1406" w:type="dxa"/>
          </w:tcPr>
          <w:p>
            <w:pPr/>
            <w:r>
              <w:t xml:space="preserve">0.57</w:t>
            </w:r>
          </w:p>
        </w:tc>
        <w:tc>
          <w:tcPr>
            <w:tcW w:w="1683" w:type="dxa"/>
          </w:tcPr>
          <w:p>
            <w:pPr/>
            <w:r>
              <w:t xml:space="preserve">0.24</w:t>
            </w:r>
          </w:p>
        </w:tc>
        <w:tc>
          <w:tcPr>
            <w:tcW w:w="1074" w:type="dxa"/>
          </w:tcPr>
          <w:p>
            <w:pPr/>
            <w:r>
              <w:t xml:space="preserve">0.31</w:t>
            </w:r>
          </w:p>
        </w:tc>
        <w:tc>
          <w:tcPr>
            <w:tcW w:w="1266" w:type="dxa"/>
          </w:tcPr>
          <w:p>
            <w:pPr/>
            <w:r>
              <w:t xml:space="preserve">+0.33</w:t>
            </w:r>
          </w:p>
        </w:tc>
        <w:tc>
          <w:tcPr>
            <w:tcW w:w="1312" w:type="dxa"/>
          </w:tcPr>
          <w:p>
            <w:pPr/>
            <w:r>
              <w:t xml:space="preserve">+0.26</w:t>
            </w:r>
          </w:p>
        </w:tc>
      </w:tr>
      <w:tr>
        <w:tc>
          <w:tcPr>
            <w:tcW w:w="2619" w:type="dxa"/>
          </w:tcPr>
          <w:p>
            <w:pPr/>
            <w:r>
              <w:t xml:space="preserve">miDGD (4a)</w:t>
            </w:r>
          </w:p>
        </w:tc>
        <w:tc>
          <w:tcPr>
            <w:tcW w:w="1406" w:type="dxa"/>
          </w:tcPr>
          <w:p>
            <w:pPr/>
            <w:r>
              <w:t xml:space="preserve">0.09</w:t>
            </w:r>
          </w:p>
        </w:tc>
        <w:tc>
          <w:tcPr>
            <w:tcW w:w="1683" w:type="dxa"/>
          </w:tcPr>
          <w:p>
            <w:pPr/>
            <w:r>
              <w:t xml:space="preserve">0.28</w:t>
            </w:r>
          </w:p>
        </w:tc>
        <w:tc>
          <w:tcPr>
            <w:tcW w:w="1074" w:type="dxa"/>
          </w:tcPr>
          <w:p>
            <w:pPr/>
            <w:r>
              <w:t xml:space="preserve">0.08</w:t>
            </w:r>
          </w:p>
        </w:tc>
        <w:tc>
          <w:tcPr>
            <w:tcW w:w="1266" w:type="dxa"/>
          </w:tcPr>
          <w:p>
            <w:pPr/>
            <w:r>
              <w:t xml:space="preserve">−0.19</w:t>
            </w:r>
          </w:p>
        </w:tc>
        <w:tc>
          <w:tcPr>
            <w:tcW w:w="1312" w:type="dxa"/>
          </w:tcPr>
          <w:p>
            <w:pPr/>
            <w:r>
              <w:t xml:space="preserve">+0.01</w:t>
            </w:r>
          </w:p>
        </w:tc>
      </w:tr>
    </w:tbl>
    <w:p>
      <w:pPr>
        <w:pStyle w:val="ListParagraph"/>
        <w:numPr>
          <w:ilvl w:val="0"/>
          <w:numId w:val="7"/>
        </w:numPr>
      </w:pPr>
      <w:r>
        <w:rPr>
          <w:b/>
        </w:rPr>
        <w:t xml:space="preserve">Raw rho misleads.</w:t>
      </w:r>
      <w:r>
        <w:t xml:space="preserve"> Ours-C's raw 0.57 is almost matched by its random lists (0.31). Ours-B and Ours-C2 start from negative baselines, so their differences look larger than their raw rho.</w:t>
      </w:r>
    </w:p>
    <w:p>
      <w:pPr>
        <w:pStyle w:val="ListParagraph"/>
        <w:numPr>
          <w:ilvl w:val="0"/>
          <w:numId w:val="7"/>
        </w:numPr>
      </w:pPr>
      <w:r>
        <w:rPr>
          <w:b/>
        </w:rPr>
        <w:t xml:space="preserve">miDGD finds no miR-124 signal:</w:t>
      </w:r>
      <w:r>
        <w:t xml:space="preserve"> its miR-122 prediction tracks GFP better (0.28) than its miR-124 prediction (0.09). In HEK, miR-124 is introduced artificially, so miDGD, which predicts miRNA levels from the overall expression profile, probably has no pattern to recognise it by.</w:t>
      </w:r>
    </w:p>
    <w:p>
      <w:pPr>
        <w:pStyle w:val="ListParagraph"/>
        <w:numPr>
          <w:ilvl w:val="0"/>
          <w:numId w:val="7"/>
        </w:numPr>
      </w:pPr>
      <w:r>
        <w:rPr>
          <w:b/>
        </w:rPr>
        <w:t xml:space="preserve">Co-expression lists reach rho 0.75–0.85, but not because of miR-124.</w:t>
      </w:r>
      <w:r>
        <w:t xml:space="preserve"> The miR-122 lists built with the same co-expression filter reach 0.55–0.69. So most of the gain comes from the filter selecting genes that follow induction strength. Judged against the negative control, they gain only +0.13 to +0.21, less than TargetScan top 200–500 (+0.36 to +0.65).</w:t>
      </w:r>
    </w:p>
    <w:p>
      <w:pPr>
        <w:pStyle w:val="ListParagraph"/>
        <w:numPr>
          <w:ilvl w:val="0"/>
          <w:numId w:val="7"/>
        </w:numPr>
      </w:pPr>
      <w:r>
        <w:rPr>
          <w:b/>
        </w:rPr>
        <w:t xml:space="preserve">TarBase and miRTarBase lists are missing from this summary</w:t>
      </w:r>
      <w:r>
        <w:t xml:space="preserve"> (see Caveats).</w:t>
      </w:r>
    </w:p>
    <w:p>
      <w:pPr>
        <w:pStyle w:val="Heading2"/>
      </w:pPr>
      <w:r>
        <w:t xml:space="preserve">PSCSR: natural variation within cell lines</w:t>
      </w:r>
    </w:p>
    <w:p>
      <w:pPr/>
      <w:r>
        <w:t xml:space="preserve">Every method is weak here. The best list-based method beats its random lists by only about 0.1 in Spearman rho (Ours-D +0.10, miReact +0.10), and miDGD has the largest margin (+0.14 vs random, +0.13 vs control). Values are medians over 12 (cell line, family) pairs.</w:t>
      </w:r>
    </w:p>
    <w:tbl>
      <w:tblPr>
        <w:tblStyle w:val="TableGrid"/>
        <w:tblW w:w="0" w:type="auto"/>
        <w:tblLayout w:type="fixed"/>
        <w:tblLook w:val="04A0" w:firstRow="1" w:lastRow="0" w:firstColumn="0" w:lastColumn="0" w:noHBand="0" w:noVBand="1"/>
      </w:tblPr>
      <w:tblGrid>
        <w:gridCol w:w="1951"/>
        <w:gridCol w:w="1702"/>
        <w:gridCol w:w="1978"/>
        <w:gridCol w:w="1096"/>
        <w:gridCol w:w="1292"/>
        <w:gridCol w:w="1339"/>
      </w:tblGrid>
      <w:tr>
        <w:trPr>
          <w:tblHeader/>
        </w:trPr>
        <w:tc>
          <w:tcPr>
            <w:tcW w:w="1951" w:type="dxa"/>
            <w:shd w:val="clear" w:color="auto" w:fill="F2F2F2"/>
          </w:tcPr>
          <w:p>
            <w:pPr/>
            <w:r>
              <w:t xml:space="preserve">Method</w:t>
            </w:r>
          </w:p>
        </w:tc>
        <w:tc>
          <w:tcPr>
            <w:tcW w:w="1702" w:type="dxa"/>
            <w:shd w:val="clear" w:color="auto" w:fill="F2F2F2"/>
          </w:tcPr>
          <w:p>
            <w:pPr/>
            <w:r>
              <w:t xml:space="preserve">Spearman rho</w:t>
            </w:r>
          </w:p>
        </w:tc>
        <w:tc>
          <w:tcPr>
            <w:tcW w:w="1978" w:type="dxa"/>
            <w:shd w:val="clear" w:color="auto" w:fill="F2F2F2"/>
          </w:tcPr>
          <w:p>
            <w:pPr/>
            <w:r>
              <w:t xml:space="preserve">Negative control</w:t>
            </w:r>
          </w:p>
        </w:tc>
        <w:tc>
          <w:tcPr>
            <w:tcW w:w="1096" w:type="dxa"/>
            <w:shd w:val="clear" w:color="auto" w:fill="F2F2F2"/>
          </w:tcPr>
          <w:p>
            <w:pPr/>
            <w:r>
              <w:t xml:space="preserve">Random</w:t>
            </w:r>
          </w:p>
        </w:tc>
        <w:tc>
          <w:tcPr>
            <w:tcW w:w="1292" w:type="dxa"/>
            <w:shd w:val="clear" w:color="auto" w:fill="F2F2F2"/>
          </w:tcPr>
          <w:p>
            <w:pPr/>
            <w:r>
              <w:t xml:space="preserve">vs control</w:t>
            </w:r>
          </w:p>
        </w:tc>
        <w:tc>
          <w:tcPr>
            <w:tcW w:w="1339" w:type="dxa"/>
            <w:shd w:val="clear" w:color="auto" w:fill="F2F2F2"/>
          </w:tcPr>
          <w:p>
            <w:pPr/>
            <w:r>
              <w:t xml:space="preserve">vs random</w:t>
            </w:r>
          </w:p>
        </w:tc>
      </w:tr>
      <w:tr>
        <w:tc>
          <w:tcPr>
            <w:tcW w:w="1951" w:type="dxa"/>
          </w:tcPr>
          <w:p>
            <w:pPr/>
            <w:r>
              <w:t xml:space="preserve">miDGD (4a)</w:t>
            </w:r>
          </w:p>
        </w:tc>
        <w:tc>
          <w:tcPr>
            <w:tcW w:w="1702" w:type="dxa"/>
          </w:tcPr>
          <w:p>
            <w:pPr/>
            <w:r>
              <w:t xml:space="preserve">0.09</w:t>
            </w:r>
          </w:p>
        </w:tc>
        <w:tc>
          <w:tcPr>
            <w:tcW w:w="1978" w:type="dxa"/>
          </w:tcPr>
          <w:p>
            <w:pPr/>
            <w:r>
              <w:t xml:space="preserve">−0.03</w:t>
            </w:r>
          </w:p>
        </w:tc>
        <w:tc>
          <w:tcPr>
            <w:tcW w:w="1096" w:type="dxa"/>
          </w:tcPr>
          <w:p>
            <w:pPr/>
            <w:r>
              <w:t xml:space="preserve">0.00</w:t>
            </w:r>
          </w:p>
        </w:tc>
        <w:tc>
          <w:tcPr>
            <w:tcW w:w="1292" w:type="dxa"/>
          </w:tcPr>
          <w:p>
            <w:pPr/>
            <w:r>
              <w:t xml:space="preserve">+0.13</w:t>
            </w:r>
          </w:p>
        </w:tc>
        <w:tc>
          <w:tcPr>
            <w:tcW w:w="1339" w:type="dxa"/>
          </w:tcPr>
          <w:p>
            <w:pPr/>
            <w:r>
              <w:t xml:space="preserve">+0.14</w:t>
            </w:r>
          </w:p>
        </w:tc>
      </w:tr>
      <w:tr>
        <w:tc>
          <w:tcPr>
            <w:tcW w:w="1951" w:type="dxa"/>
          </w:tcPr>
          <w:p>
            <w:pPr/>
            <w:r>
              <w:t xml:space="preserve">Ours-D</w:t>
            </w:r>
          </w:p>
        </w:tc>
        <w:tc>
          <w:tcPr>
            <w:tcW w:w="1702" w:type="dxa"/>
          </w:tcPr>
          <w:p>
            <w:pPr/>
            <w:r>
              <w:t xml:space="preserve">0.08</w:t>
            </w:r>
          </w:p>
        </w:tc>
        <w:tc>
          <w:tcPr>
            <w:tcW w:w="1978" w:type="dxa"/>
          </w:tcPr>
          <w:p>
            <w:pPr/>
            <w:r>
              <w:t xml:space="preserve">0.02</w:t>
            </w:r>
          </w:p>
        </w:tc>
        <w:tc>
          <w:tcPr>
            <w:tcW w:w="1096" w:type="dxa"/>
          </w:tcPr>
          <w:p>
            <w:pPr/>
            <w:r>
              <w:t xml:space="preserve">−0.01</w:t>
            </w:r>
          </w:p>
        </w:tc>
        <w:tc>
          <w:tcPr>
            <w:tcW w:w="1292" w:type="dxa"/>
          </w:tcPr>
          <w:p>
            <w:pPr/>
            <w:r>
              <w:t xml:space="preserve">+0.05</w:t>
            </w:r>
          </w:p>
        </w:tc>
        <w:tc>
          <w:tcPr>
            <w:tcW w:w="1339" w:type="dxa"/>
          </w:tcPr>
          <w:p>
            <w:pPr/>
            <w:r>
              <w:t xml:space="preserve">+0.10</w:t>
            </w:r>
          </w:p>
        </w:tc>
      </w:tr>
      <w:tr>
        <w:tc>
          <w:tcPr>
            <w:tcW w:w="1951" w:type="dxa"/>
          </w:tcPr>
          <w:p>
            <w:pPr/>
            <w:r>
              <w:t xml:space="preserve">miReact</w:t>
            </w:r>
          </w:p>
        </w:tc>
        <w:tc>
          <w:tcPr>
            <w:tcW w:w="1702" w:type="dxa"/>
          </w:tcPr>
          <w:p>
            <w:pPr/>
            <w:r>
              <w:t xml:space="preserve">0.09</w:t>
            </w:r>
          </w:p>
        </w:tc>
        <w:tc>
          <w:tcPr>
            <w:tcW w:w="1978" w:type="dxa"/>
          </w:tcPr>
          <w:p>
            <w:pPr/>
            <w:r>
              <w:t xml:space="preserve">0.00</w:t>
            </w:r>
          </w:p>
        </w:tc>
        <w:tc>
          <w:tcPr>
            <w:tcW w:w="1096" w:type="dxa"/>
          </w:tcPr>
          <w:p>
            <w:pPr/>
            <w:r>
              <w:t xml:space="preserve">−0.01</w:t>
            </w:r>
          </w:p>
        </w:tc>
        <w:tc>
          <w:tcPr>
            <w:tcW w:w="1292" w:type="dxa"/>
          </w:tcPr>
          <w:p>
            <w:pPr/>
            <w:r>
              <w:t xml:space="preserve">+0.08</w:t>
            </w:r>
          </w:p>
        </w:tc>
        <w:tc>
          <w:tcPr>
            <w:tcW w:w="1339" w:type="dxa"/>
          </w:tcPr>
          <w:p>
            <w:pPr/>
            <w:r>
              <w:t xml:space="preserve">+0.10</w:t>
            </w:r>
          </w:p>
        </w:tc>
      </w:tr>
      <w:tr>
        <w:tc>
          <w:tcPr>
            <w:tcW w:w="1951" w:type="dxa"/>
          </w:tcPr>
          <w:p>
            <w:pPr/>
            <w:r>
              <w:t xml:space="preserve">Ours-B</w:t>
            </w:r>
          </w:p>
        </w:tc>
        <w:tc>
          <w:tcPr>
            <w:tcW w:w="1702" w:type="dxa"/>
          </w:tcPr>
          <w:p>
            <w:pPr/>
            <w:r>
              <w:t xml:space="preserve">0.06</w:t>
            </w:r>
          </w:p>
        </w:tc>
        <w:tc>
          <w:tcPr>
            <w:tcW w:w="1978" w:type="dxa"/>
          </w:tcPr>
          <w:p>
            <w:pPr/>
            <w:r>
              <w:t xml:space="preserve">0.03</w:t>
            </w:r>
          </w:p>
        </w:tc>
        <w:tc>
          <w:tcPr>
            <w:tcW w:w="1096" w:type="dxa"/>
          </w:tcPr>
          <w:p>
            <w:pPr/>
            <w:r>
              <w:t xml:space="preserve">0.04</w:t>
            </w:r>
          </w:p>
        </w:tc>
        <w:tc>
          <w:tcPr>
            <w:tcW w:w="1292" w:type="dxa"/>
          </w:tcPr>
          <w:p>
            <w:pPr/>
            <w:r>
              <w:t xml:space="preserve">+0.09</w:t>
            </w:r>
          </w:p>
        </w:tc>
        <w:tc>
          <w:tcPr>
            <w:tcW w:w="1339" w:type="dxa"/>
          </w:tcPr>
          <w:p>
            <w:pPr/>
            <w:r>
              <w:t xml:space="preserve">+0.09</w:t>
            </w:r>
          </w:p>
        </w:tc>
      </w:tr>
      <w:tr>
        <w:tc>
          <w:tcPr>
            <w:tcW w:w="1951" w:type="dxa"/>
          </w:tcPr>
          <w:p>
            <w:pPr/>
            <w:r>
              <w:t xml:space="preserve">Ours-C2</w:t>
            </w:r>
          </w:p>
        </w:tc>
        <w:tc>
          <w:tcPr>
            <w:tcW w:w="1702" w:type="dxa"/>
          </w:tcPr>
          <w:p>
            <w:pPr/>
            <w:r>
              <w:t xml:space="preserve">0.10</w:t>
            </w:r>
          </w:p>
        </w:tc>
        <w:tc>
          <w:tcPr>
            <w:tcW w:w="1978" w:type="dxa"/>
          </w:tcPr>
          <w:p>
            <w:pPr/>
            <w:r>
              <w:t xml:space="preserve">0.02</w:t>
            </w:r>
          </w:p>
        </w:tc>
        <w:tc>
          <w:tcPr>
            <w:tcW w:w="1096" w:type="dxa"/>
          </w:tcPr>
          <w:p>
            <w:pPr/>
            <w:r>
              <w:t xml:space="preserve">0.00</w:t>
            </w:r>
          </w:p>
        </w:tc>
        <w:tc>
          <w:tcPr>
            <w:tcW w:w="1292" w:type="dxa"/>
          </w:tcPr>
          <w:p>
            <w:pPr/>
            <w:r>
              <w:t xml:space="preserve">+0.08</w:t>
            </w:r>
          </w:p>
        </w:tc>
        <w:tc>
          <w:tcPr>
            <w:tcW w:w="1339" w:type="dxa"/>
          </w:tcPr>
          <w:p>
            <w:pPr/>
            <w:r>
              <w:t xml:space="preserve">+0.08</w:t>
            </w:r>
          </w:p>
        </w:tc>
      </w:tr>
      <w:tr>
        <w:tc>
          <w:tcPr>
            <w:tcW w:w="1951" w:type="dxa"/>
          </w:tcPr>
          <w:p>
            <w:pPr/>
            <w:r>
              <w:t xml:space="preserve">Ours-C</w:t>
            </w:r>
          </w:p>
        </w:tc>
        <w:tc>
          <w:tcPr>
            <w:tcW w:w="1702" w:type="dxa"/>
          </w:tcPr>
          <w:p>
            <w:pPr/>
            <w:r>
              <w:t xml:space="preserve">0.23</w:t>
            </w:r>
          </w:p>
        </w:tc>
        <w:tc>
          <w:tcPr>
            <w:tcW w:w="1978" w:type="dxa"/>
          </w:tcPr>
          <w:p>
            <w:pPr/>
            <w:r>
              <w:t xml:space="preserve">0.23</w:t>
            </w:r>
          </w:p>
        </w:tc>
        <w:tc>
          <w:tcPr>
            <w:tcW w:w="1096" w:type="dxa"/>
          </w:tcPr>
          <w:p>
            <w:pPr/>
            <w:r>
              <w:t xml:space="preserve">0.19</w:t>
            </w:r>
          </w:p>
        </w:tc>
        <w:tc>
          <w:tcPr>
            <w:tcW w:w="1292" w:type="dxa"/>
          </w:tcPr>
          <w:p>
            <w:pPr/>
            <w:r>
              <w:t xml:space="preserve">+0.04</w:t>
            </w:r>
          </w:p>
        </w:tc>
        <w:tc>
          <w:tcPr>
            <w:tcW w:w="1339" w:type="dxa"/>
          </w:tcPr>
          <w:p>
            <w:pPr/>
            <w:r>
              <w:t xml:space="preserve">+0.06</w:t>
            </w:r>
          </w:p>
        </w:tc>
      </w:tr>
      <w:tr>
        <w:tc>
          <w:tcPr>
            <w:tcW w:w="1951" w:type="dxa"/>
          </w:tcPr>
          <w:p>
            <w:pPr/>
            <w:r>
              <w:t xml:space="preserve">miReact (motif)</w:t>
            </w:r>
          </w:p>
        </w:tc>
        <w:tc>
          <w:tcPr>
            <w:tcW w:w="1702" w:type="dxa"/>
          </w:tcPr>
          <w:p>
            <w:pPr/>
            <w:r>
              <w:t xml:space="preserve">0.05</w:t>
            </w:r>
          </w:p>
        </w:tc>
        <w:tc>
          <w:tcPr>
            <w:tcW w:w="1978" w:type="dxa"/>
          </w:tcPr>
          <w:p>
            <w:pPr/>
            <w:r>
              <w:t xml:space="preserve">0.02</w:t>
            </w:r>
          </w:p>
        </w:tc>
        <w:tc>
          <w:tcPr>
            <w:tcW w:w="1096" w:type="dxa"/>
          </w:tcPr>
          <w:p>
            <w:pPr/>
            <w:r>
              <w:t xml:space="preserve">0.00</w:t>
            </w:r>
          </w:p>
        </w:tc>
        <w:tc>
          <w:tcPr>
            <w:tcW w:w="1292" w:type="dxa"/>
          </w:tcPr>
          <w:p>
            <w:pPr/>
            <w:r>
              <w:t xml:space="preserve">+0.08</w:t>
            </w:r>
          </w:p>
        </w:tc>
        <w:tc>
          <w:tcPr>
            <w:tcW w:w="1339" w:type="dxa"/>
          </w:tcPr>
          <w:p>
            <w:pPr/>
            <w:r>
              <w:t xml:space="preserve">+0.05</w:t>
            </w:r>
          </w:p>
        </w:tc>
      </w:tr>
      <w:tr>
        <w:tc>
          <w:tcPr>
            <w:tcW w:w="1951" w:type="dxa"/>
          </w:tcPr>
          <w:p>
            <w:pPr/>
            <w:r>
              <w:t xml:space="preserve">miTEA-HiRes</w:t>
            </w:r>
          </w:p>
        </w:tc>
        <w:tc>
          <w:tcPr>
            <w:tcW w:w="1702" w:type="dxa"/>
          </w:tcPr>
          <w:p>
            <w:pPr/>
            <w:r>
              <w:t xml:space="preserve">0.06</w:t>
            </w:r>
          </w:p>
        </w:tc>
        <w:tc>
          <w:tcPr>
            <w:tcW w:w="1978" w:type="dxa"/>
          </w:tcPr>
          <w:p>
            <w:pPr/>
            <w:r>
              <w:t xml:space="preserve">0.00</w:t>
            </w:r>
          </w:p>
        </w:tc>
        <w:tc>
          <w:tcPr>
            <w:tcW w:w="1096" w:type="dxa"/>
          </w:tcPr>
          <w:p>
            <w:pPr/>
            <w:r>
              <w:t xml:space="preserve">0.01</w:t>
            </w:r>
          </w:p>
        </w:tc>
        <w:tc>
          <w:tcPr>
            <w:tcW w:w="1292" w:type="dxa"/>
          </w:tcPr>
          <w:p>
            <w:pPr/>
            <w:r>
              <w:t xml:space="preserve">+0.04</w:t>
            </w:r>
          </w:p>
        </w:tc>
        <w:tc>
          <w:tcPr>
            <w:tcW w:w="1339" w:type="dxa"/>
          </w:tcPr>
          <w:p>
            <w:pPr/>
            <w:r>
              <w:t xml:space="preserve">+0.05</w:t>
            </w:r>
          </w:p>
        </w:tc>
      </w:tr>
      <w:tr>
        <w:tc>
          <w:tcPr>
            <w:tcW w:w="1951" w:type="dxa"/>
          </w:tcPr>
          <w:p>
            <w:pPr/>
            <w:r>
              <w:t xml:space="preserve">Ours-A</w:t>
            </w:r>
          </w:p>
        </w:tc>
        <w:tc>
          <w:tcPr>
            <w:tcW w:w="1702" w:type="dxa"/>
          </w:tcPr>
          <w:p>
            <w:pPr/>
            <w:r>
              <w:t xml:space="preserve">0.00</w:t>
            </w:r>
          </w:p>
        </w:tc>
        <w:tc>
          <w:tcPr>
            <w:tcW w:w="1978" w:type="dxa"/>
          </w:tcPr>
          <w:p>
            <w:pPr/>
            <w:r>
              <w:t xml:space="preserve">0.02</w:t>
            </w:r>
          </w:p>
        </w:tc>
        <w:tc>
          <w:tcPr>
            <w:tcW w:w="1096" w:type="dxa"/>
          </w:tcPr>
          <w:p>
            <w:pPr/>
            <w:r>
              <w:t xml:space="preserve">0.01</w:t>
            </w:r>
          </w:p>
        </w:tc>
        <w:tc>
          <w:tcPr>
            <w:tcW w:w="1292" w:type="dxa"/>
          </w:tcPr>
          <w:p>
            <w:pPr/>
            <w:r>
              <w:t xml:space="preserve">+0.01</w:t>
            </w:r>
          </w:p>
        </w:tc>
        <w:tc>
          <w:tcPr>
            <w:tcW w:w="1339" w:type="dxa"/>
          </w:tcPr>
          <w:p>
            <w:pPr/>
            <w:r>
              <w:t xml:space="preserve">+0.03</w:t>
            </w:r>
          </w:p>
        </w:tc>
      </w:tr>
      <w:tr>
        <w:tc>
          <w:tcPr>
            <w:tcW w:w="1951" w:type="dxa"/>
          </w:tcPr>
          <w:p>
            <w:pPr/>
            <w:r>
              <w:t xml:space="preserve">bayesReact</w:t>
            </w:r>
          </w:p>
        </w:tc>
        <w:tc>
          <w:tcPr>
            <w:tcW w:w="1702" w:type="dxa"/>
          </w:tcPr>
          <w:p>
            <w:pPr/>
            <w:r>
              <w:t xml:space="preserve">0.03</w:t>
            </w:r>
          </w:p>
        </w:tc>
        <w:tc>
          <w:tcPr>
            <w:tcW w:w="1978" w:type="dxa"/>
          </w:tcPr>
          <w:p>
            <w:pPr/>
            <w:r>
              <w:t xml:space="preserve">0.01</w:t>
            </w:r>
          </w:p>
        </w:tc>
        <w:tc>
          <w:tcPr>
            <w:tcW w:w="1096" w:type="dxa"/>
          </w:tcPr>
          <w:p>
            <w:pPr/>
            <w:r>
              <w:t xml:space="preserve">0.00</w:t>
            </w:r>
          </w:p>
        </w:tc>
        <w:tc>
          <w:tcPr>
            <w:tcW w:w="1292" w:type="dxa"/>
          </w:tcPr>
          <w:p>
            <w:pPr/>
            <w:r>
              <w:t xml:space="preserve">+0.04</w:t>
            </w:r>
          </w:p>
        </w:tc>
        <w:tc>
          <w:tcPr>
            <w:tcW w:w="1339" w:type="dxa"/>
          </w:tcPr>
          <w:p>
            <w:pPr/>
            <w:r>
              <w:t xml:space="preserve">+0.02</w:t>
            </w:r>
          </w:p>
        </w:tc>
      </w:tr>
    </w:tbl>
    <w:p>
      <w:pPr>
        <w:pStyle w:val="ListParagraph"/>
        <w:numPr>
          <w:ilvl w:val="0"/>
          <w:numId w:val="8"/>
        </w:numPr>
      </w:pPr>
      <w:r>
        <w:rPr>
          <w:b/>
        </w:rPr>
        <w:t xml:space="preserve">Ours-C has the highest raw rho (0.23) but no specific signal.</w:t>
      </w:r>
      <w:r>
        <w:t xml:space="preserve"> Its negative control (0.23) and random lists (0.19) score the same, which is the cell-complexity artifact found in the covariate analysis.</w:t>
      </w:r>
    </w:p>
    <w:p>
      <w:pPr>
        <w:pStyle w:val="ListParagraph"/>
        <w:numPr>
          <w:ilvl w:val="0"/>
          <w:numId w:val="8"/>
        </w:numPr>
      </w:pPr>
      <w:r>
        <w:rPr>
          <w:b/>
        </w:rPr>
        <w:t xml:space="preserve">Ours-A and bayesReact, both strong in mESC and HEK, find nothing here.</w:t>
      </w:r>
    </w:p>
    <w:p>
      <w:pPr>
        <w:pStyle w:val="ListParagraph"/>
        <w:numPr>
          <w:ilvl w:val="0"/>
          <w:numId w:val="8"/>
        </w:numPr>
      </w:pPr>
      <w:r>
        <w:rPr>
          <w:b/>
        </w:rPr>
        <w:t xml:space="preserve">miDGD's lead is the opposite of its HEK result.</w:t>
      </w:r>
      <w:r>
        <w:t xml:space="preserve"> It predicts miRNA levels from the overall expression profile. That works for endogenous miRNAs whose levels follow cell state, but it measures miRNA abundance more than target repression. Treat its PSCSR result as a different kind of signal, not as evidence of better activity inference.</w:t>
      </w:r>
    </w:p>
    <w:p>
      <w:pPr>
        <w:pStyle w:val="ListParagraph"/>
        <w:numPr>
          <w:ilvl w:val="0"/>
          <w:numId w:val="8"/>
        </w:numPr>
      </w:pPr>
      <w:r>
        <w:rPr>
          <w:b/>
        </w:rPr>
        <w:t xml:space="preserve">Co-expression lists are worse than random here</w:t>
      </w:r>
      <w:r>
        <w:t xml:space="preserve"> (−0.05 to −0.18 vs random), so the filter selects genes that run against the measured miRNA.</w:t>
      </w:r>
    </w:p>
    <w:p>
      <w:pPr>
        <w:pStyle w:val="Heading2"/>
      </w:pPr>
      <w:r>
        <w:t xml:space="preserve">Methods across the three datasets</w:t>
      </w:r>
    </w:p>
    <w:p>
      <w:pPr/>
      <w:r>
        <w:t xml:space="preserve">Ours-D ranks highest on average; no method is top in all three datasets. Ranks are by the margin over random lists (TargetScan top 200–500, or the method's own motif / prediction), 1 = best of 10. In mESC, the top seven differ by under 3 percentage points, so ranks there are close to ties.</w:t>
      </w:r>
    </w:p>
    <w:tbl>
      <w:tblPr>
        <w:tblStyle w:val="TableGrid"/>
        <w:tblW w:w="0" w:type="auto"/>
        <w:tblLayout w:type="fixed"/>
        <w:tblLook w:val="04A0" w:firstRow="1" w:lastRow="0" w:firstColumn="0" w:lastColumn="0" w:noHBand="0" w:noVBand="1"/>
      </w:tblPr>
      <w:tblGrid>
        <w:gridCol w:w="1423"/>
        <w:gridCol w:w="913"/>
        <w:gridCol w:w="1028"/>
        <w:gridCol w:w="1023"/>
        <w:gridCol w:w="1312"/>
        <w:gridCol w:w="3661"/>
      </w:tblGrid>
      <w:tr>
        <w:trPr>
          <w:tblHeader/>
        </w:trPr>
        <w:tc>
          <w:tcPr>
            <w:tcW w:w="1423" w:type="dxa"/>
            <w:shd w:val="clear" w:color="auto" w:fill="F2F2F2"/>
          </w:tcPr>
          <w:p>
            <w:pPr/>
            <w:r>
              <w:t xml:space="preserve">Method</w:t>
            </w:r>
          </w:p>
        </w:tc>
        <w:tc>
          <w:tcPr>
            <w:tcW w:w="913" w:type="dxa"/>
            <w:shd w:val="clear" w:color="auto" w:fill="F2F2F2"/>
          </w:tcPr>
          <w:p>
            <w:pPr/>
            <w:r>
              <w:t xml:space="preserve">mESC</w:t>
            </w:r>
          </w:p>
        </w:tc>
        <w:tc>
          <w:tcPr>
            <w:tcW w:w="1028" w:type="dxa"/>
            <w:shd w:val="clear" w:color="auto" w:fill="F2F2F2"/>
          </w:tcPr>
          <w:p>
            <w:pPr/>
            <w:r>
              <w:t xml:space="preserve">HEK induced</w:t>
            </w:r>
          </w:p>
        </w:tc>
        <w:tc>
          <w:tcPr>
            <w:tcW w:w="1023" w:type="dxa"/>
            <w:shd w:val="clear" w:color="auto" w:fill="F2F2F2"/>
          </w:tcPr>
          <w:p>
            <w:pPr/>
            <w:r>
              <w:t xml:space="preserve">PSCSR</w:t>
            </w:r>
          </w:p>
        </w:tc>
        <w:tc>
          <w:tcPr>
            <w:tcW w:w="1312" w:type="dxa"/>
            <w:shd w:val="clear" w:color="auto" w:fill="F2F2F2"/>
          </w:tcPr>
          <w:p>
            <w:pPr/>
            <w:r>
              <w:t xml:space="preserve">Mean rank</w:t>
            </w:r>
          </w:p>
        </w:tc>
        <w:tc>
          <w:tcPr>
            <w:tcW w:w="3661" w:type="dxa"/>
            <w:shd w:val="clear" w:color="auto" w:fill="F2F2F2"/>
          </w:tcPr>
          <w:p>
            <w:pPr/>
            <w:r>
              <w:t xml:space="preserve">Verdict</w:t>
            </w:r>
          </w:p>
        </w:tc>
      </w:tr>
      <w:tr>
        <w:tc>
          <w:tcPr>
            <w:tcW w:w="1423" w:type="dxa"/>
          </w:tcPr>
          <w:p>
            <w:pPr/>
            <w:r>
              <w:t xml:space="preserve">Ours-D</w:t>
            </w:r>
          </w:p>
        </w:tc>
        <w:tc>
          <w:tcPr>
            <w:tcW w:w="913" w:type="dxa"/>
          </w:tcPr>
          <w:p>
            <w:pPr/>
            <w:r>
              <w:t xml:space="preserve">1</w:t>
            </w:r>
          </w:p>
        </w:tc>
        <w:tc>
          <w:tcPr>
            <w:tcW w:w="1028" w:type="dxa"/>
          </w:tcPr>
          <w:p>
            <w:pPr/>
            <w:r>
              <w:t xml:space="preserve">5</w:t>
            </w:r>
          </w:p>
        </w:tc>
        <w:tc>
          <w:tcPr>
            <w:tcW w:w="1023" w:type="dxa"/>
          </w:tcPr>
          <w:p>
            <w:pPr/>
            <w:r>
              <w:t xml:space="preserve">2</w:t>
            </w:r>
          </w:p>
        </w:tc>
        <w:tc>
          <w:tcPr>
            <w:tcW w:w="1312" w:type="dxa"/>
          </w:tcPr>
          <w:p>
            <w:pPr/>
            <w:r>
              <w:t xml:space="preserve">2.7</w:t>
            </w:r>
          </w:p>
        </w:tc>
        <w:tc>
          <w:tcPr>
            <w:tcW w:w="3661" w:type="dxa"/>
          </w:tcPr>
          <w:p>
            <w:pPr/>
            <w:r>
              <w:t xml:space="preserve">Most consistent; best overall</w:t>
            </w:r>
          </w:p>
        </w:tc>
      </w:tr>
      <w:tr>
        <w:tc>
          <w:tcPr>
            <w:tcW w:w="1423" w:type="dxa"/>
          </w:tcPr>
          <w:p>
            <w:pPr/>
            <w:r>
              <w:t xml:space="preserve">miReact</w:t>
            </w:r>
          </w:p>
        </w:tc>
        <w:tc>
          <w:tcPr>
            <w:tcW w:w="913" w:type="dxa"/>
          </w:tcPr>
          <w:p>
            <w:pPr/>
            <w:r>
              <w:t xml:space="preserve">2</w:t>
            </w:r>
          </w:p>
        </w:tc>
        <w:tc>
          <w:tcPr>
            <w:tcW w:w="1028" w:type="dxa"/>
          </w:tcPr>
          <w:p>
            <w:pPr/>
            <w:r>
              <w:t xml:space="preserve">8</w:t>
            </w:r>
          </w:p>
        </w:tc>
        <w:tc>
          <w:tcPr>
            <w:tcW w:w="1023" w:type="dxa"/>
          </w:tcPr>
          <w:p>
            <w:pPr/>
            <w:r>
              <w:t xml:space="preserve">3</w:t>
            </w:r>
          </w:p>
        </w:tc>
        <w:tc>
          <w:tcPr>
            <w:tcW w:w="1312" w:type="dxa"/>
          </w:tcPr>
          <w:p>
            <w:pPr/>
            <w:r>
              <w:t xml:space="preserve">4.3</w:t>
            </w:r>
          </w:p>
        </w:tc>
        <w:tc>
          <w:tcPr>
            <w:tcW w:w="3661" w:type="dxa"/>
          </w:tcPr>
          <w:p>
            <w:pPr/>
            <w:r>
              <w:t xml:space="preserve">Consistent, weaker in HEK</w:t>
            </w:r>
          </w:p>
        </w:tc>
      </w:tr>
      <w:tr>
        <w:tc>
          <w:tcPr>
            <w:tcW w:w="1423" w:type="dxa"/>
          </w:tcPr>
          <w:p>
            <w:pPr/>
            <w:r>
              <w:t xml:space="preserve">miReact (motif)</w:t>
            </w:r>
          </w:p>
        </w:tc>
        <w:tc>
          <w:tcPr>
            <w:tcW w:w="913" w:type="dxa"/>
          </w:tcPr>
          <w:p>
            <w:pPr/>
            <w:r>
              <w:t xml:space="preserve">4</w:t>
            </w:r>
          </w:p>
        </w:tc>
        <w:tc>
          <w:tcPr>
            <w:tcW w:w="1028" w:type="dxa"/>
          </w:tcPr>
          <w:p>
            <w:pPr/>
            <w:r>
              <w:t xml:space="preserve">2</w:t>
            </w:r>
          </w:p>
        </w:tc>
        <w:tc>
          <w:tcPr>
            <w:tcW w:w="1023" w:type="dxa"/>
          </w:tcPr>
          <w:p>
            <w:pPr/>
            <w:r>
              <w:t xml:space="preserve">7</w:t>
            </w:r>
          </w:p>
        </w:tc>
        <w:tc>
          <w:tcPr>
            <w:tcW w:w="1312" w:type="dxa"/>
          </w:tcPr>
          <w:p>
            <w:pPr/>
            <w:r>
              <w:t xml:space="preserve">4.3</w:t>
            </w:r>
          </w:p>
        </w:tc>
        <w:tc>
          <w:tcPr>
            <w:tcW w:w="3661" w:type="dxa"/>
          </w:tcPr>
          <w:p>
            <w:pPr/>
            <w:r>
              <w:t xml:space="preserve">Strong where the miRNA effect is strong; no list needed</w:t>
            </w:r>
          </w:p>
        </w:tc>
      </w:tr>
      <w:tr>
        <w:tc>
          <w:tcPr>
            <w:tcW w:w="1423" w:type="dxa"/>
          </w:tcPr>
          <w:p>
            <w:pPr/>
            <w:r>
              <w:t xml:space="preserve">Ours-B</w:t>
            </w:r>
          </w:p>
        </w:tc>
        <w:tc>
          <w:tcPr>
            <w:tcW w:w="913" w:type="dxa"/>
          </w:tcPr>
          <w:p>
            <w:pPr/>
            <w:r>
              <w:t xml:space="preserve">9</w:t>
            </w:r>
          </w:p>
        </w:tc>
        <w:tc>
          <w:tcPr>
            <w:tcW w:w="1028" w:type="dxa"/>
          </w:tcPr>
          <w:p>
            <w:pPr/>
            <w:r>
              <w:t xml:space="preserve">3</w:t>
            </w:r>
          </w:p>
        </w:tc>
        <w:tc>
          <w:tcPr>
            <w:tcW w:w="1023" w:type="dxa"/>
          </w:tcPr>
          <w:p>
            <w:pPr/>
            <w:r>
              <w:t xml:space="preserve">4</w:t>
            </w:r>
          </w:p>
        </w:tc>
        <w:tc>
          <w:tcPr>
            <w:tcW w:w="1312" w:type="dxa"/>
          </w:tcPr>
          <w:p>
            <w:pPr/>
            <w:r>
              <w:t xml:space="preserve">5.3</w:t>
            </w:r>
          </w:p>
        </w:tc>
        <w:tc>
          <w:tcPr>
            <w:tcW w:w="3661" w:type="dxa"/>
          </w:tcPr>
          <w:p>
            <w:pPr/>
            <w:r>
              <w:t xml:space="preserve">Inconsistent: worst in mESC, good margins elsewhere come from negative baselines</w:t>
            </w:r>
          </w:p>
        </w:tc>
      </w:tr>
      <w:tr>
        <w:tc>
          <w:tcPr>
            <w:tcW w:w="1423" w:type="dxa"/>
          </w:tcPr>
          <w:p>
            <w:pPr/>
            <w:r>
              <w:t xml:space="preserve">miDGD (4a)</w:t>
            </w:r>
          </w:p>
        </w:tc>
        <w:tc>
          <w:tcPr>
            <w:tcW w:w="913" w:type="dxa"/>
          </w:tcPr>
          <w:p>
            <w:pPr/>
            <w:r>
              <w:t xml:space="preserve">—</w:t>
            </w:r>
          </w:p>
        </w:tc>
        <w:tc>
          <w:tcPr>
            <w:tcW w:w="1028" w:type="dxa"/>
          </w:tcPr>
          <w:p>
            <w:pPr/>
            <w:r>
              <w:t xml:space="preserve">10</w:t>
            </w:r>
          </w:p>
        </w:tc>
        <w:tc>
          <w:tcPr>
            <w:tcW w:w="1023" w:type="dxa"/>
          </w:tcPr>
          <w:p>
            <w:pPr/>
            <w:r>
              <w:t xml:space="preserve">1</w:t>
            </w:r>
          </w:p>
        </w:tc>
        <w:tc>
          <w:tcPr>
            <w:tcW w:w="1312" w:type="dxa"/>
          </w:tcPr>
          <w:p>
            <w:pPr/>
            <w:r>
              <w:t xml:space="preserve">5.5</w:t>
            </w:r>
          </w:p>
        </w:tc>
        <w:tc>
          <w:tcPr>
            <w:tcW w:w="3661" w:type="dxa"/>
          </w:tcPr>
          <w:p>
            <w:pPr/>
            <w:r>
              <w:t xml:space="preserve">Contradictory; human only</w:t>
            </w:r>
          </w:p>
        </w:tc>
      </w:tr>
      <w:tr>
        <w:tc>
          <w:tcPr>
            <w:tcW w:w="1423" w:type="dxa"/>
          </w:tcPr>
          <w:p>
            <w:pPr/>
            <w:r>
              <w:t xml:space="preserve">miTEA-HiRes</w:t>
            </w:r>
          </w:p>
        </w:tc>
        <w:tc>
          <w:tcPr>
            <w:tcW w:w="913" w:type="dxa"/>
          </w:tcPr>
          <w:p>
            <w:pPr/>
            <w:r>
              <w:t xml:space="preserve">3</w:t>
            </w:r>
          </w:p>
        </w:tc>
        <w:tc>
          <w:tcPr>
            <w:tcW w:w="1028" w:type="dxa"/>
          </w:tcPr>
          <w:p>
            <w:pPr/>
            <w:r>
              <w:t xml:space="preserve">6</w:t>
            </w:r>
          </w:p>
        </w:tc>
        <w:tc>
          <w:tcPr>
            <w:tcW w:w="1023" w:type="dxa"/>
          </w:tcPr>
          <w:p>
            <w:pPr/>
            <w:r>
              <w:t xml:space="preserve">8</w:t>
            </w:r>
          </w:p>
        </w:tc>
        <w:tc>
          <w:tcPr>
            <w:tcW w:w="1312" w:type="dxa"/>
          </w:tcPr>
          <w:p>
            <w:pPr/>
            <w:r>
              <w:t xml:space="preserve">5.7</w:t>
            </w:r>
          </w:p>
        </w:tc>
        <w:tc>
          <w:tcPr>
            <w:tcW w:w="3661" w:type="dxa"/>
          </w:tcPr>
          <w:p>
            <w:pPr/>
            <w:r>
              <w:t xml:space="preserve">Good in mESC/HEK, weak in PSCSR</w:t>
            </w:r>
          </w:p>
        </w:tc>
      </w:tr>
      <w:tr>
        <w:tc>
          <w:tcPr>
            <w:tcW w:w="1423" w:type="dxa"/>
          </w:tcPr>
          <w:p>
            <w:pPr/>
            <w:r>
              <w:t xml:space="preserve">Ours-A</w:t>
            </w:r>
          </w:p>
        </w:tc>
        <w:tc>
          <w:tcPr>
            <w:tcW w:w="913" w:type="dxa"/>
          </w:tcPr>
          <w:p>
            <w:pPr/>
            <w:r>
              <w:t xml:space="preserve">5</w:t>
            </w:r>
          </w:p>
        </w:tc>
        <w:tc>
          <w:tcPr>
            <w:tcW w:w="1028" w:type="dxa"/>
          </w:tcPr>
          <w:p>
            <w:pPr/>
            <w:r>
              <w:t xml:space="preserve">4</w:t>
            </w:r>
          </w:p>
        </w:tc>
        <w:tc>
          <w:tcPr>
            <w:tcW w:w="1023" w:type="dxa"/>
          </w:tcPr>
          <w:p>
            <w:pPr/>
            <w:r>
              <w:t xml:space="preserve">9</w:t>
            </w:r>
          </w:p>
        </w:tc>
        <w:tc>
          <w:tcPr>
            <w:tcW w:w="1312" w:type="dxa"/>
          </w:tcPr>
          <w:p>
            <w:pPr/>
            <w:r>
              <w:t xml:space="preserve">6.0</w:t>
            </w:r>
          </w:p>
        </w:tc>
        <w:tc>
          <w:tcPr>
            <w:tcW w:w="3661" w:type="dxa"/>
          </w:tcPr>
          <w:p>
            <w:pPr/>
            <w:r>
              <w:t xml:space="preserve">Fails in PSCSR</w:t>
            </w:r>
          </w:p>
        </w:tc>
      </w:tr>
      <w:tr>
        <w:tc>
          <w:tcPr>
            <w:tcW w:w="1423" w:type="dxa"/>
          </w:tcPr>
          <w:p>
            <w:pPr/>
            <w:r>
              <w:t xml:space="preserve">Ours-C2</w:t>
            </w:r>
          </w:p>
        </w:tc>
        <w:tc>
          <w:tcPr>
            <w:tcW w:w="913" w:type="dxa"/>
          </w:tcPr>
          <w:p>
            <w:pPr/>
            <w:r>
              <w:t xml:space="preserve">6</w:t>
            </w:r>
          </w:p>
        </w:tc>
        <w:tc>
          <w:tcPr>
            <w:tcW w:w="1028" w:type="dxa"/>
          </w:tcPr>
          <w:p>
            <w:pPr/>
            <w:r>
              <w:t xml:space="preserve">7</w:t>
            </w:r>
          </w:p>
        </w:tc>
        <w:tc>
          <w:tcPr>
            <w:tcW w:w="1023" w:type="dxa"/>
          </w:tcPr>
          <w:p>
            <w:pPr/>
            <w:r>
              <w:t xml:space="preserve">5</w:t>
            </w:r>
          </w:p>
        </w:tc>
        <w:tc>
          <w:tcPr>
            <w:tcW w:w="1312" w:type="dxa"/>
          </w:tcPr>
          <w:p>
            <w:pPr/>
            <w:r>
              <w:t xml:space="preserve">6.0</w:t>
            </w:r>
          </w:p>
        </w:tc>
        <w:tc>
          <w:tcPr>
            <w:tcW w:w="3661" w:type="dxa"/>
          </w:tcPr>
          <w:p>
            <w:pPr/>
            <w:r>
              <w:t xml:space="preserve">Middle everywhere; second-best mean rank vs the negative control (4.0)</w:t>
            </w:r>
          </w:p>
        </w:tc>
      </w:tr>
      <w:tr>
        <w:tc>
          <w:tcPr>
            <w:tcW w:w="1423" w:type="dxa"/>
          </w:tcPr>
          <w:p>
            <w:pPr/>
            <w:r>
              <w:t xml:space="preserve">bayesReact</w:t>
            </w:r>
          </w:p>
        </w:tc>
        <w:tc>
          <w:tcPr>
            <w:tcW w:w="913" w:type="dxa"/>
          </w:tcPr>
          <w:p>
            <w:pPr/>
            <w:r>
              <w:t xml:space="preserve">7</w:t>
            </w:r>
          </w:p>
        </w:tc>
        <w:tc>
          <w:tcPr>
            <w:tcW w:w="1028" w:type="dxa"/>
          </w:tcPr>
          <w:p>
            <w:pPr/>
            <w:r>
              <w:t xml:space="preserve">1</w:t>
            </w:r>
          </w:p>
        </w:tc>
        <w:tc>
          <w:tcPr>
            <w:tcW w:w="1023" w:type="dxa"/>
          </w:tcPr>
          <w:p>
            <w:pPr/>
            <w:r>
              <w:t xml:space="preserve">10</w:t>
            </w:r>
          </w:p>
        </w:tc>
        <w:tc>
          <w:tcPr>
            <w:tcW w:w="1312" w:type="dxa"/>
          </w:tcPr>
          <w:p>
            <w:pPr/>
            <w:r>
              <w:t xml:space="preserve">6.0</w:t>
            </w:r>
          </w:p>
        </w:tc>
        <w:tc>
          <w:tcPr>
            <w:tcW w:w="3661" w:type="dxa"/>
          </w:tcPr>
          <w:p>
            <w:pPr/>
            <w:r>
              <w:t xml:space="preserve">Best in HEK, nothing in PSCSR</w:t>
            </w:r>
          </w:p>
        </w:tc>
      </w:tr>
      <w:tr>
        <w:tc>
          <w:tcPr>
            <w:tcW w:w="1423" w:type="dxa"/>
          </w:tcPr>
          <w:p>
            <w:pPr/>
            <w:r>
              <w:t xml:space="preserve">Ours-C</w:t>
            </w:r>
          </w:p>
        </w:tc>
        <w:tc>
          <w:tcPr>
            <w:tcW w:w="913" w:type="dxa"/>
          </w:tcPr>
          <w:p>
            <w:pPr/>
            <w:r>
              <w:t xml:space="preserve">8</w:t>
            </w:r>
          </w:p>
        </w:tc>
        <w:tc>
          <w:tcPr>
            <w:tcW w:w="1028" w:type="dxa"/>
          </w:tcPr>
          <w:p>
            <w:pPr/>
            <w:r>
              <w:t xml:space="preserve">9</w:t>
            </w:r>
          </w:p>
        </w:tc>
        <w:tc>
          <w:tcPr>
            <w:tcW w:w="1023" w:type="dxa"/>
          </w:tcPr>
          <w:p>
            <w:pPr/>
            <w:r>
              <w:t xml:space="preserve">6</w:t>
            </w:r>
          </w:p>
        </w:tc>
        <w:tc>
          <w:tcPr>
            <w:tcW w:w="1312" w:type="dxa"/>
          </w:tcPr>
          <w:p>
            <w:pPr/>
            <w:r>
              <w:t xml:space="preserve">7.7</w:t>
            </w:r>
          </w:p>
        </w:tc>
        <w:tc>
          <w:tcPr>
            <w:tcW w:w="3661" w:type="dxa"/>
          </w:tcPr>
          <w:p>
            <w:pPr/>
            <w:r>
              <w:t xml:space="preserve">Raw scores inflated by a cell-level artifact; do not use</w:t>
            </w:r>
          </w:p>
        </w:tc>
      </w:tr>
    </w:tbl>
    <w:p>
      <w:pPr/>
      <w:r>
        <w:t xml:space="preserve">Ranked by the margin over the negative control instead, the order at the top is similar. Ours-D still leads (mean rank 3.7), followed by miReact, Ours-B and Ours-C2 (4.0 each).</w:t>
      </w:r>
    </w:p>
    <w:p>
      <w:pPr>
        <w:pStyle w:val="Heading2"/>
      </w:pPr>
      <w:r>
        <w:t xml:space="preserve">Target databases and list types</w:t>
      </w:r>
    </w:p>
    <w:p>
      <w:pPr/>
      <w:r>
        <w:t xml:space="preserve">TargetScan's strongest 200–500 predicted targets are the best lists in all three datasets. Values are the median margin over random lists across the five list-based methods without known artifacts (Ours-A, Ours-C2, Ours-D, miReact, miTEA-HiRes). mESC values are in error-percentage points; HEK and PSCSR in Spearman rho.</w:t>
      </w:r>
    </w:p>
    <w:tbl>
      <w:tblPr>
        <w:tblStyle w:val="TableGrid"/>
        <w:tblW w:w="0" w:type="auto"/>
        <w:tblLayout w:type="fixed"/>
        <w:tblLook w:val="04A0" w:firstRow="1" w:lastRow="0" w:firstColumn="0" w:lastColumn="0" w:noHBand="0" w:noVBand="1"/>
      </w:tblPr>
      <w:tblGrid>
        <w:gridCol w:w="4036"/>
        <w:gridCol w:w="1622"/>
        <w:gridCol w:w="1898"/>
        <w:gridCol w:w="1803"/>
      </w:tblGrid>
      <w:tr>
        <w:trPr>
          <w:tblHeader/>
        </w:trPr>
        <w:tc>
          <w:tcPr>
            <w:tcW w:w="4036" w:type="dxa"/>
            <w:shd w:val="clear" w:color="auto" w:fill="F2F2F2"/>
          </w:tcPr>
          <w:p>
            <w:pPr/>
            <w:r>
              <w:t xml:space="preserve">List type</w:t>
            </w:r>
          </w:p>
        </w:tc>
        <w:tc>
          <w:tcPr>
            <w:tcW w:w="1622" w:type="dxa"/>
            <w:shd w:val="clear" w:color="auto" w:fill="F2F2F2"/>
          </w:tcPr>
          <w:p>
            <w:pPr/>
            <w:r>
              <w:t xml:space="preserve">mESC</w:t>
            </w:r>
          </w:p>
        </w:tc>
        <w:tc>
          <w:tcPr>
            <w:tcW w:w="1898" w:type="dxa"/>
            <w:shd w:val="clear" w:color="auto" w:fill="F2F2F2"/>
          </w:tcPr>
          <w:p>
            <w:pPr/>
            <w:r>
              <w:t xml:space="preserve">HEK induced</w:t>
            </w:r>
          </w:p>
        </w:tc>
        <w:tc>
          <w:tcPr>
            <w:tcW w:w="1803" w:type="dxa"/>
            <w:shd w:val="clear" w:color="auto" w:fill="F2F2F2"/>
          </w:tcPr>
          <w:p>
            <w:pPr/>
            <w:r>
              <w:t xml:space="preserve">PSCSR</w:t>
            </w:r>
          </w:p>
        </w:tc>
      </w:tr>
      <w:tr>
        <w:tc>
          <w:tcPr>
            <w:tcW w:w="4036" w:type="dxa"/>
          </w:tcPr>
          <w:p>
            <w:pPr/>
            <w:r>
              <w:t xml:space="preserve">TargetScan top 200</w:t>
            </w:r>
          </w:p>
        </w:tc>
        <w:tc>
          <w:tcPr>
            <w:tcW w:w="1622" w:type="dxa"/>
          </w:tcPr>
          <w:p>
            <w:pPr/>
            <w:r>
              <w:t xml:space="preserve">+47.0</w:t>
            </w:r>
          </w:p>
        </w:tc>
        <w:tc>
          <w:tcPr>
            <w:tcW w:w="1898" w:type="dxa"/>
          </w:tcPr>
          <w:p>
            <w:pPr/>
            <w:r>
              <w:t xml:space="preserve">+0.48</w:t>
            </w:r>
          </w:p>
        </w:tc>
        <w:tc>
          <w:tcPr>
            <w:tcW w:w="1803" w:type="dxa"/>
          </w:tcPr>
          <w:p>
            <w:pPr/>
            <w:r>
              <w:t xml:space="preserve">+0.09</w:t>
            </w:r>
          </w:p>
        </w:tc>
      </w:tr>
      <w:tr>
        <w:tc>
          <w:tcPr>
            <w:tcW w:w="4036" w:type="dxa"/>
          </w:tcPr>
          <w:p>
            <w:pPr/>
            <w:r>
              <w:t xml:space="preserve">TargetScan top 500</w:t>
            </w:r>
          </w:p>
        </w:tc>
        <w:tc>
          <w:tcPr>
            <w:tcW w:w="1622" w:type="dxa"/>
          </w:tcPr>
          <w:p>
            <w:pPr/>
            <w:r>
              <w:t xml:space="preserve">+49.0</w:t>
            </w:r>
          </w:p>
        </w:tc>
        <w:tc>
          <w:tcPr>
            <w:tcW w:w="1898" w:type="dxa"/>
          </w:tcPr>
          <w:p>
            <w:pPr/>
            <w:r>
              <w:t xml:space="preserve">+0.48</w:t>
            </w:r>
          </w:p>
        </w:tc>
        <w:tc>
          <w:tcPr>
            <w:tcW w:w="1803" w:type="dxa"/>
          </w:tcPr>
          <w:p>
            <w:pPr/>
            <w:r>
              <w:t xml:space="preserve">+0.07</w:t>
            </w:r>
          </w:p>
        </w:tc>
      </w:tr>
      <w:tr>
        <w:tc>
          <w:tcPr>
            <w:tcW w:w="4036" w:type="dxa"/>
          </w:tcPr>
          <w:p>
            <w:pPr/>
            <w:r>
              <w:t xml:space="preserve">TargetScan top 1000</w:t>
            </w:r>
          </w:p>
        </w:tc>
        <w:tc>
          <w:tcPr>
            <w:tcW w:w="1622" w:type="dxa"/>
          </w:tcPr>
          <w:p>
            <w:pPr/>
            <w:r>
              <w:t xml:space="preserve">+48.0</w:t>
            </w:r>
          </w:p>
        </w:tc>
        <w:tc>
          <w:tcPr>
            <w:tcW w:w="1898" w:type="dxa"/>
          </w:tcPr>
          <w:p>
            <w:pPr/>
            <w:r>
              <w:t xml:space="preserve">+0.34</w:t>
            </w:r>
          </w:p>
        </w:tc>
        <w:tc>
          <w:tcPr>
            <w:tcW w:w="1803" w:type="dxa"/>
          </w:tcPr>
          <w:p>
            <w:pPr/>
            <w:r>
              <w:t xml:space="preserve">+0.07</w:t>
            </w:r>
          </w:p>
        </w:tc>
      </w:tr>
      <w:tr>
        <w:tc>
          <w:tcPr>
            <w:tcW w:w="4036" w:type="dxa"/>
          </w:tcPr>
          <w:p>
            <w:pPr/>
            <w:r>
              <w:t xml:space="preserve">TargetScan all</w:t>
            </w:r>
          </w:p>
        </w:tc>
        <w:tc>
          <w:tcPr>
            <w:tcW w:w="1622" w:type="dxa"/>
          </w:tcPr>
          <w:p>
            <w:pPr/>
            <w:r>
              <w:t xml:space="preserve">+45.1</w:t>
            </w:r>
          </w:p>
        </w:tc>
        <w:tc>
          <w:tcPr>
            <w:tcW w:w="1898" w:type="dxa"/>
          </w:tcPr>
          <w:p>
            <w:pPr/>
            <w:r>
              <w:t xml:space="preserve">+0.05</w:t>
            </w:r>
          </w:p>
        </w:tc>
        <w:tc>
          <w:tcPr>
            <w:tcW w:w="1803" w:type="dxa"/>
          </w:tcPr>
          <w:p>
            <w:pPr/>
            <w:r>
              <w:t xml:space="preserve">−0.04</w:t>
            </w:r>
          </w:p>
        </w:tc>
      </w:tr>
      <w:tr>
        <w:tc>
          <w:tcPr>
            <w:tcW w:w="4036" w:type="dxa"/>
          </w:tcPr>
          <w:p>
            <w:pPr/>
            <w:r>
              <w:t xml:space="preserve">miRDB all</w:t>
            </w:r>
          </w:p>
        </w:tc>
        <w:tc>
          <w:tcPr>
            <w:tcW w:w="1622" w:type="dxa"/>
          </w:tcPr>
          <w:p>
            <w:pPr/>
            <w:r>
              <w:t xml:space="preserve">+48.6</w:t>
            </w:r>
          </w:p>
        </w:tc>
        <w:tc>
          <w:tcPr>
            <w:tcW w:w="1898" w:type="dxa"/>
          </w:tcPr>
          <w:p>
            <w:pPr/>
            <w:r>
              <w:t xml:space="preserve">+0.13</w:t>
            </w:r>
          </w:p>
        </w:tc>
        <w:tc>
          <w:tcPr>
            <w:tcW w:w="1803" w:type="dxa"/>
          </w:tcPr>
          <w:p>
            <w:pPr/>
            <w:r>
              <w:t xml:space="preserve">+0.06</w:t>
            </w:r>
          </w:p>
        </w:tc>
      </w:tr>
      <w:tr>
        <w:tc>
          <w:tcPr>
            <w:tcW w:w="4036" w:type="dxa"/>
          </w:tcPr>
          <w:p>
            <w:pPr/>
            <w:r>
              <w:t xml:space="preserve">miRDB top 50%</w:t>
            </w:r>
          </w:p>
        </w:tc>
        <w:tc>
          <w:tcPr>
            <w:tcW w:w="1622" w:type="dxa"/>
          </w:tcPr>
          <w:p>
            <w:pPr/>
            <w:r>
              <w:t xml:space="preserve">+47.3</w:t>
            </w:r>
          </w:p>
        </w:tc>
        <w:tc>
          <w:tcPr>
            <w:tcW w:w="1898" w:type="dxa"/>
          </w:tcPr>
          <w:p>
            <w:pPr/>
            <w:r>
              <w:t xml:space="preserve">+0.13</w:t>
            </w:r>
          </w:p>
        </w:tc>
        <w:tc>
          <w:tcPr>
            <w:tcW w:w="1803" w:type="dxa"/>
          </w:tcPr>
          <w:p>
            <w:pPr/>
            <w:r>
              <w:t xml:space="preserve">+0.07</w:t>
            </w:r>
          </w:p>
        </w:tc>
      </w:tr>
      <w:tr>
        <w:tc>
          <w:tcPr>
            <w:tcW w:w="4036" w:type="dxa"/>
          </w:tcPr>
          <w:p>
            <w:pPr/>
            <w:r>
              <w:t xml:space="preserve">miRDB top 5–20%</w:t>
            </w:r>
          </w:p>
        </w:tc>
        <w:tc>
          <w:tcPr>
            <w:tcW w:w="1622" w:type="dxa"/>
          </w:tcPr>
          <w:p>
            <w:pPr/>
            <w:r>
              <w:t xml:space="preserve">+35 to +47</w:t>
            </w:r>
          </w:p>
        </w:tc>
        <w:tc>
          <w:tcPr>
            <w:tcW w:w="1898" w:type="dxa"/>
          </w:tcPr>
          <w:p>
            <w:pPr/>
            <w:r>
              <w:t xml:space="preserve">+0.02 to +0.07</w:t>
            </w:r>
          </w:p>
        </w:tc>
        <w:tc>
          <w:tcPr>
            <w:tcW w:w="1803" w:type="dxa"/>
          </w:tcPr>
          <w:p>
            <w:pPr/>
            <w:r>
              <w:t xml:space="preserve">0.00 to +0.04</w:t>
            </w:r>
          </w:p>
        </w:tc>
      </w:tr>
      <w:tr>
        <w:tc>
          <w:tcPr>
            <w:tcW w:w="4036" w:type="dxa"/>
          </w:tcPr>
          <w:p>
            <w:pPr/>
            <w:r>
              <w:t xml:space="preserve">mirDIP High+ / Very High</w:t>
            </w:r>
          </w:p>
        </w:tc>
        <w:tc>
          <w:tcPr>
            <w:tcW w:w="1622" w:type="dxa"/>
          </w:tcPr>
          <w:p>
            <w:pPr/>
            <w:r>
              <w:t xml:space="preserve">—</w:t>
            </w:r>
          </w:p>
        </w:tc>
        <w:tc>
          <w:tcPr>
            <w:tcW w:w="1898" w:type="dxa"/>
          </w:tcPr>
          <w:p>
            <w:pPr/>
            <w:r>
              <w:t xml:space="preserve">+0.04 / +0.02</w:t>
            </w:r>
          </w:p>
        </w:tc>
        <w:tc>
          <w:tcPr>
            <w:tcW w:w="1803" w:type="dxa"/>
          </w:tcPr>
          <w:p>
            <w:pPr/>
            <w:r>
              <w:t xml:space="preserve">+0.07 / +0.03</w:t>
            </w:r>
          </w:p>
        </w:tc>
      </w:tr>
      <w:tr>
        <w:tc>
          <w:tcPr>
            <w:tcW w:w="4036" w:type="dxa"/>
          </w:tcPr>
          <w:p>
            <w:pPr/>
            <w:r>
              <w:t xml:space="preserve">mirDIP Medium+</w:t>
            </w:r>
          </w:p>
        </w:tc>
        <w:tc>
          <w:tcPr>
            <w:tcW w:w="1622" w:type="dxa"/>
          </w:tcPr>
          <w:p>
            <w:pPr/>
            <w:r>
              <w:t xml:space="preserve">—</w:t>
            </w:r>
          </w:p>
        </w:tc>
        <w:tc>
          <w:tcPr>
            <w:tcW w:w="1898" w:type="dxa"/>
          </w:tcPr>
          <w:p>
            <w:pPr/>
            <w:r>
              <w:t xml:space="preserve">−0.14</w:t>
            </w:r>
          </w:p>
        </w:tc>
        <w:tc>
          <w:tcPr>
            <w:tcW w:w="1803" w:type="dxa"/>
          </w:tcPr>
          <w:p>
            <w:pPr/>
            <w:r>
              <w:t xml:space="preserve">−0.43</w:t>
            </w:r>
          </w:p>
        </w:tc>
      </w:tr>
      <w:tr>
        <w:tc>
          <w:tcPr>
            <w:tcW w:w="4036" w:type="dxa"/>
          </w:tcPr>
          <w:p>
            <w:pPr/>
            <w:r>
              <w:t xml:space="preserve">TarBase ∩ TargetScan site</w:t>
            </w:r>
          </w:p>
        </w:tc>
        <w:tc>
          <w:tcPr>
            <w:tcW w:w="1622" w:type="dxa"/>
          </w:tcPr>
          <w:p>
            <w:pPr/>
            <w:r>
              <w:t xml:space="preserve">+44.0</w:t>
            </w:r>
          </w:p>
        </w:tc>
        <w:tc>
          <w:tcPr>
            <w:tcW w:w="1898" w:type="dxa"/>
          </w:tcPr>
          <w:p>
            <w:pPr/>
            <w:r>
              <w:t xml:space="preserve">—</w:t>
            </w:r>
          </w:p>
        </w:tc>
        <w:tc>
          <w:tcPr>
            <w:tcW w:w="1803" w:type="dxa"/>
          </w:tcPr>
          <w:p>
            <w:pPr/>
            <w:r>
              <w:t xml:space="preserve">—</w:t>
            </w:r>
          </w:p>
        </w:tc>
      </w:tr>
      <w:tr>
        <w:tc>
          <w:tcPr>
            <w:tcW w:w="4036" w:type="dxa"/>
          </w:tcPr>
          <w:p>
            <w:pPr/>
            <w:r>
              <w:t xml:space="preserve">TarBase ≥ 5 records</w:t>
            </w:r>
          </w:p>
        </w:tc>
        <w:tc>
          <w:tcPr>
            <w:tcW w:w="1622" w:type="dxa"/>
          </w:tcPr>
          <w:p>
            <w:pPr/>
            <w:r>
              <w:t xml:space="preserve">+28.8</w:t>
            </w:r>
          </w:p>
        </w:tc>
        <w:tc>
          <w:tcPr>
            <w:tcW w:w="1898" w:type="dxa"/>
          </w:tcPr>
          <w:p>
            <w:pPr/>
            <w:r>
              <w:t xml:space="preserve">—</w:t>
            </w:r>
          </w:p>
        </w:tc>
        <w:tc>
          <w:tcPr>
            <w:tcW w:w="1803" w:type="dxa"/>
          </w:tcPr>
          <w:p>
            <w:pPr/>
            <w:r>
              <w:t xml:space="preserve">—</w:t>
            </w:r>
          </w:p>
        </w:tc>
      </w:tr>
      <w:tr>
        <w:tc>
          <w:tcPr>
            <w:tcW w:w="4036" w:type="dxa"/>
          </w:tcPr>
          <w:p>
            <w:pPr/>
            <w:r>
              <w:t xml:space="preserve">miRTarBase all</w:t>
            </w:r>
          </w:p>
        </w:tc>
        <w:tc>
          <w:tcPr>
            <w:tcW w:w="1622" w:type="dxa"/>
          </w:tcPr>
          <w:p>
            <w:pPr/>
            <w:r>
              <w:t xml:space="preserve">+40.8</w:t>
            </w:r>
          </w:p>
        </w:tc>
        <w:tc>
          <w:tcPr>
            <w:tcW w:w="1898" w:type="dxa"/>
          </w:tcPr>
          <w:p>
            <w:pPr/>
            <w:r>
              <w:t xml:space="preserve">—</w:t>
            </w:r>
          </w:p>
        </w:tc>
        <w:tc>
          <w:tcPr>
            <w:tcW w:w="1803" w:type="dxa"/>
          </w:tcPr>
          <w:p>
            <w:pPr/>
            <w:r>
              <w:t xml:space="preserve">—</w:t>
            </w:r>
          </w:p>
        </w:tc>
      </w:tr>
      <w:tr>
        <w:tc>
          <w:tcPr>
            <w:tcW w:w="4036" w:type="dxa"/>
          </w:tcPr>
          <w:p>
            <w:pPr/>
            <w:r>
              <w:t xml:space="preserve">miRTarBase high / very high</w:t>
            </w:r>
          </w:p>
        </w:tc>
        <w:tc>
          <w:tcPr>
            <w:tcW w:w="1622" w:type="dxa"/>
          </w:tcPr>
          <w:p>
            <w:pPr/>
            <w:r>
              <w:t xml:space="preserve">+13.7 / +17.0</w:t>
            </w:r>
          </w:p>
        </w:tc>
        <w:tc>
          <w:tcPr>
            <w:tcW w:w="1898" w:type="dxa"/>
          </w:tcPr>
          <w:p>
            <w:pPr/>
            <w:r>
              <w:t xml:space="preserve">—</w:t>
            </w:r>
          </w:p>
        </w:tc>
        <w:tc>
          <w:tcPr>
            <w:tcW w:w="1803" w:type="dxa"/>
          </w:tcPr>
          <w:p>
            <w:pPr/>
            <w:r>
              <w:t xml:space="preserve">—</w:t>
            </w:r>
          </w:p>
        </w:tc>
      </w:tr>
      <w:tr>
        <w:tc>
          <w:tcPr>
            <w:tcW w:w="4036" w:type="dxa"/>
          </w:tcPr>
          <w:p>
            <w:pPr/>
            <w:r>
              <w:t xml:space="preserve">Co-expression (TargetScan, mirDIP)</w:t>
            </w:r>
          </w:p>
        </w:tc>
        <w:tc>
          <w:tcPr>
            <w:tcW w:w="1622" w:type="dxa"/>
          </w:tcPr>
          <w:p>
            <w:pPr/>
            <w:r>
              <w:t xml:space="preserve">−1.2</w:t>
            </w:r>
          </w:p>
        </w:tc>
        <w:tc>
          <w:tcPr>
            <w:tcW w:w="1898" w:type="dxa"/>
          </w:tcPr>
          <w:p>
            <w:pPr/>
            <w:r>
              <w:t xml:space="preserve">+0.65 to +0.74 (vs control only +0.12 to +0.17)</w:t>
            </w:r>
          </w:p>
        </w:tc>
        <w:tc>
          <w:tcPr>
            <w:tcW w:w="1803" w:type="dxa"/>
          </w:tcPr>
          <w:p>
            <w:pPr/>
            <w:r>
              <w:t xml:space="preserve">−0.09 to +0.01</w:t>
            </w:r>
          </w:p>
        </w:tc>
      </w:tr>
      <w:tr>
        <w:tc>
          <w:tcPr>
            <w:tcW w:w="4036" w:type="dxa"/>
          </w:tcPr>
          <w:p>
            <w:pPr/>
          </w:p>
        </w:tc>
        <w:tc>
          <w:tcPr>
            <w:tcW w:w="1622" w:type="dxa"/>
          </w:tcPr>
          <w:p>
            <w:pPr/>
          </w:p>
        </w:tc>
        <w:tc>
          <w:tcPr>
            <w:tcW w:w="1898" w:type="dxa"/>
          </w:tcPr>
          <w:p>
            <w:pPr/>
          </w:p>
        </w:tc>
        <w:tc>
          <w:tcPr>
            <w:tcW w:w="1803" w:type="dxa"/>
          </w:tcPr>
          <w:p>
            <w:pPr/>
          </w:p>
        </w:tc>
      </w:tr>
    </w:tbl>
    <w:p>
      <w:pPr>
        <w:pStyle w:val="ListParagraph"/>
        <w:numPr>
          <w:ilvl w:val="0"/>
          <w:numId w:val="9"/>
        </w:numPr>
      </w:pPr>
      <w:r>
        <w:rPr>
          <w:b/>
        </w:rPr>
        <w:t xml:space="preserve">Best size: a few hundred genes.</w:t>
      </w:r>
    </w:p>
    <w:p>
      <w:pPr>
        <w:pStyle w:val="ListParagraph"/>
        <w:numPr>
          <w:ilvl w:val="1"/>
          <w:numId w:val="10"/>
        </w:numPr>
      </w:pPr>
      <w:r>
        <w:t xml:space="preserve">Too many dilutes the signal: TargetScan all loses almost everything in HEK and PSCSR, and mirDIP Medium+ (about 4,000 genes) is negative.</w:t>
      </w:r>
    </w:p>
    <w:p>
      <w:pPr>
        <w:pStyle w:val="ListParagraph"/>
        <w:numPr>
          <w:ilvl w:val="1"/>
          <w:numId w:val="10"/>
        </w:numPr>
      </w:pPr>
      <w:r>
        <w:t xml:space="preserve">Too few is noisy: miRTarBase high-confidence has ~30–60 genes, and miRDB top 5% ~40–70.</w:t>
      </w:r>
    </w:p>
    <w:p>
      <w:pPr>
        <w:pStyle w:val="ListParagraph"/>
        <w:numPr>
          <w:ilvl w:val="0"/>
          <w:numId w:val="9"/>
        </w:numPr>
      </w:pPr>
      <w:r>
        <w:rPr>
          <w:b/>
        </w:rPr>
        <w:t xml:space="preserve">Predictions beat experimental databases</w:t>
      </w:r>
      <w:r>
        <w:t xml:space="preserve"> where both were tested (mESC). TarBase lists work only when intersected with TargetScan seed sites. miRTarBase works only as the full list.</w:t>
      </w:r>
    </w:p>
    <w:p>
      <w:pPr>
        <w:pStyle w:val="ListParagraph"/>
        <w:numPr>
          <w:ilvl w:val="0"/>
          <w:numId w:val="9"/>
        </w:numPr>
      </w:pPr>
      <w:r>
        <w:rPr>
          <w:b/>
        </w:rPr>
        <w:t xml:space="preserve">Co-expression filtering, as built, is not a reliable improvement.</w:t>
      </w:r>
      <w:r>
        <w:t xml:space="preserve"> It is neutral in mESC and negative in PSCSR. In HEK, it is mostly non-specific, as its negative control shows.</w:t>
      </w:r>
    </w:p>
    <w:p>
      <w:pPr>
        <w:pStyle w:val="ListParagraph"/>
        <w:numPr>
          <w:ilvl w:val="0"/>
          <w:numId w:val="9"/>
        </w:numPr>
      </w:pPr>
      <w:r>
        <w:rPr>
          <w:b/>
        </w:rPr>
        <w:t xml:space="preserve">mirDIP Medium+ scores very negatively against random partly because of the random pool.</w:t>
      </w:r>
      <w:r>
        <w:t xml:space="preserve"> That list covers most genes, so the remaining non-target genes are an unusual set.</w:t>
      </w:r>
    </w:p>
    <w:p>
      <w:pPr>
        <w:pStyle w:val="Heading2"/>
      </w:pPr>
      <w:r>
        <w:t xml:space="preserve">Caveats and what to check next</w:t>
      </w:r>
    </w:p>
    <w:p>
      <w:pPr/>
      <w:r>
        <w:t xml:space="preserve">The ranking of TargetScan top lists and of Ours-D is robust to these points. Check the database gaps and the PSCSR pair count before treating the summaries as final.</w:t>
      </w:r>
    </w:p>
    <w:p>
      <w:pPr>
        <w:pStyle w:val="ListParagraph"/>
        <w:numPr>
          <w:ilvl w:val="0"/>
          <w:numId w:val="11"/>
        </w:numPr>
      </w:pPr>
      <w:r>
        <w:rPr>
          <w:b/>
        </w:rPr>
        <w:t xml:space="preserve">TarBase and miRTarBase are missing for HEK and PSCSR.</w:t>
      </w:r>
      <w:r>
        <w:t xml:space="preserve"> No rows exist for them, which usually means the files were not found and those databases were skipped. Rerun from step 1 once the files are in place; only mESC currently tests experimental databases.</w:t>
      </w:r>
    </w:p>
    <w:p>
      <w:pPr>
        <w:pStyle w:val="ListParagraph"/>
        <w:numPr>
          <w:ilvl w:val="0"/>
          <w:numId w:val="11"/>
        </w:numPr>
      </w:pPr>
      <w:r>
        <w:rPr>
          <w:b/>
        </w:rPr>
        <w:t xml:space="preserve">PSCSR has 12 (cell line, family) pairs, not the 20 expected for the top 5 per line.</w:t>
      </w:r>
      <w:r>
        <w:t xml:space="preserve"> Check </w:t>
      </w:r>
      <w:r>
        <w:rPr>
          <w:rStyle w:val="CodeChar"/>
        </w:rPr>
        <w:t xml:space="preserve">selection.tsv</w:t>
      </w:r>
      <w:r>
        <w:t xml:space="preserve">, and whether some families lost all rankable lists (fewer than 10 genes).</w:t>
      </w:r>
    </w:p>
    <w:p>
      <w:pPr>
        <w:pStyle w:val="ListParagraph"/>
        <w:numPr>
          <w:ilvl w:val="0"/>
          <w:numId w:val="11"/>
        </w:numPr>
      </w:pPr>
      <w:r>
        <w:rPr>
          <w:rStyle w:val="CodeChar"/>
          <w:b/>
        </w:rPr>
        <w:t xml:space="preserve">share_beating_control</w:t>
      </w:r>
      <w:r>
        <w:rPr>
          <w:b/>
        </w:rPr>
        <w:t xml:space="preserve"> is wrong in all three summaries.</w:t>
      </w:r>
      <w:r>
        <w:t xml:space="preserve"> It shows only 0 or 1 because the script computed it after replacing the per-pair values with their median. Fixed in </w:t>
      </w:r>
      <w:r>
        <w:rPr>
          <w:rStyle w:val="CodeChar"/>
        </w:rPr>
        <w:t xml:space="preserve">7_summarise.R</w:t>
      </w:r>
      <w:r>
        <w:t xml:space="preserve">; it now also reports share_beating_random. Rerun the summary step to get the real proportions.</w:t>
      </w:r>
    </w:p>
    <w:p>
      <w:pPr>
        <w:pStyle w:val="ListParagraph"/>
        <w:numPr>
          <w:ilvl w:val="0"/>
          <w:numId w:val="11"/>
        </w:numPr>
      </w:pPr>
      <w:r>
        <w:rPr>
          <w:b/>
        </w:rPr>
        <w:t xml:space="preserve">mESC and HEK each test one miRNA set.</w:t>
      </w:r>
      <w:r>
        <w:t xml:space="preserve"> There is no replication across families. Most methods hit the mESC ceiling, so mESC mainly separates working from failing methods.</w:t>
      </w:r>
    </w:p>
    <w:p>
      <w:pPr>
        <w:pStyle w:val="ListParagraph"/>
        <w:numPr>
          <w:ilvl w:val="0"/>
          <w:numId w:val="11"/>
        </w:numPr>
      </w:pPr>
      <w:r>
        <w:rPr>
          <w:b/>
        </w:rPr>
        <w:t xml:space="preserve">mESC negative-control lists for TargetScan are small.</w:t>
      </w:r>
      <w:r>
        <w:t xml:space="preserve"> The control value is identical for top 200, 500, 1000 and all, so fewer than 200 miR-122 targets remained after exclusion. The random lists are size-matched and are the fairer comparison there.</w:t>
      </w:r>
    </w:p>
    <w:p>
      <w:pPr>
        <w:pStyle w:val="ListParagraph"/>
        <w:numPr>
          <w:ilvl w:val="0"/>
          <w:numId w:val="11"/>
        </w:numPr>
      </w:pPr>
      <w:r>
        <w:rPr>
          <w:b/>
        </w:rPr>
        <w:t xml:space="preserve">Co-expression lists should be judged against the negative control.</w:t>
      </w:r>
      <w:r>
        <w:t xml:space="preserve"> Their random lists are not passed through the co-expression filter, which makes the margin over random look larger than it 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miRNA activity benchmark v2 — results report</dc:title>
  <dc:description>Claude Docs node/3ca35baf-fffc@11 docx-w7</dc:description>
  <cp:revision>11</cp:revision>
</cp:coreProperties>
</file>