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mESC Drosha-KO benchmark: separation metric and how to run each tool</w:t>
      </w:r>
    </w:p>
    <w:p>
      <w:pPr/>
      <w:r>
        <w:t xml:space="preserve">Oct 8, 2026</w:t>
      </w:r>
      <w:r>
        <w:t xml:space="preserve"> · </w:t>
      </w:r>
      <w:r>
        <w:t xml:space="preserve">@Panos</w:t>
      </w:r>
    </w:p>
    <w:p>
      <w:pPr>
        <w:pStyle w:val="Heading2"/>
      </w:pPr>
      <w:r>
        <w:t xml:space="preserve">What we did</w:t>
      </w:r>
    </w:p>
    <w:p>
      <w:pPr/>
      <w:r>
        <w:t xml:space="preserve">KO-vs-control separation is now scored as the number of cells a single activity cutoff puts on the wrong side. This replaces the normal-approximation overlap as the headline number for every method.</w:t>
      </w:r>
    </w:p>
    <w:p>
      <w:pPr/>
      <w:r>
        <w:rPr>
          <w:b/>
        </w:rPr>
        <w:t xml:space="preserve">The rule.</w:t>
      </w:r>
      <w:r>
        <w:t xml:space="preserve"> A cell is called Control if its activity is above the cutoff, otherwise KO. The direction is fixed in advance, because controls keep their miRNAs and should score higher. The cutoff is the one that minimizes the balanced error (the mean of the two per-group error rates), so it cannot win by calling every cell the larger group. A 5-fold cross-validated error is also reported: the cutoff is picked on 4/5 of the cells and tested on the held-out 1/5.</w:t>
      </w:r>
    </w:p>
    <w:p>
      <w:pPr/>
      <w:r>
        <w:rPr>
          <w:b/>
        </w:rPr>
        <w:t xml:space="preserve">Why it replaces the old overlap.</w:t>
      </w:r>
      <w:r>
        <w:t xml:space="preserve"> The old metric, 2Φ(−|d|/2) with d scaled by the KO group's SD only, equals twice this error only when both groups are normal with equal SD. It misreads groups with unequal spread or skew, and |d| gives full credit to a score that separates in the wrong direction. The new metric depends only on the ranking of cells, so it compares fairly across score scales (log2 ratio, −log10 p, posterior means).</w:t>
      </w:r>
    </w:p>
    <w:p>
      <w:pPr/>
      <w:r>
        <w:rPr>
          <w:b/>
        </w:rPr>
        <w:t xml:space="preserve">Code changes.</w:t>
      </w:r>
      <w:r>
        <w:t xml:space="preserve"> Two files in scripts/mESCs/ changed:</w:t>
      </w:r>
    </w:p>
    <w:p>
      <w:pPr>
        <w:pStyle w:val="ListParagraph"/>
        <w:numPr>
          <w:ilvl w:val="0"/>
          <w:numId w:val="2"/>
        </w:numPr>
      </w:pPr>
      <w:r>
        <w:t xml:space="preserve">mESC_separation_utils.R: new functions sep_error() and sep_error_cv(). compute_separation() now also returns cells_wrong, ctrl_called_ko, ko_called_ctrl, bal_error, bal_error_cv and cutoff. Plots draw the cutoff as a dashed line, and overlap and d are still reported next to the new numbers.</w:t>
      </w:r>
    </w:p>
    <w:p>
      <w:pPr>
        <w:pStyle w:val="ListParagraph"/>
        <w:numPr>
          <w:ilvl w:val="0"/>
          <w:numId w:val="2"/>
        </w:numPr>
      </w:pPr>
      <w:r>
        <w:t xml:space="preserve">plot_all_mesc_separation.R: recomputes the metric from each saved result's per-cell table, so no tool needs rerunning. The three bar charts use the balanced error, and the negative-control reference line moves from 100% to 50% (chance).</w:t>
      </w:r>
    </w:p>
    <w:p>
      <w:pPr/>
      <w:r>
        <w:rPr>
          <w:b/>
        </w:rPr>
        <w:t xml:space="preserve">Results on the saved runs</w:t>
      </w:r>
      <w:r>
        <w:t xml:space="preserve"> (364 KO, 397 control cells):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Method, variant</w:t>
            </w:r>
          </w:p>
        </w:tc>
        <w:tc>
          <w:tcPr>
            <w:tcW w:w="1872" w:type="dxa"/>
            <w:shd w:val="clear" w:color="auto" w:fill="F2F2F2"/>
          </w:tcPr>
          <w:p>
            <w:pPr/>
            <w:r>
              <w:t xml:space="preserve">Old overlap/2</w:t>
            </w:r>
          </w:p>
        </w:tc>
        <w:tc>
          <w:tcPr>
            <w:tcW w:w="1872" w:type="dxa"/>
            <w:shd w:val="clear" w:color="auto" w:fill="F2F2F2"/>
          </w:tcPr>
          <w:p>
            <w:pPr/>
            <w:r>
              <w:t xml:space="preserve">Cells wrong (of 761)</w:t>
            </w:r>
          </w:p>
        </w:tc>
        <w:tc>
          <w:tcPr>
            <w:tcW w:w="1872" w:type="dxa"/>
            <w:shd w:val="clear" w:color="auto" w:fill="F2F2F2"/>
          </w:tcPr>
          <w:p>
            <w:pPr/>
            <w:r>
              <w:t xml:space="preserve">Balanced error</w:t>
            </w:r>
          </w:p>
        </w:tc>
        <w:tc>
          <w:tcPr>
            <w:tcW w:w="1872" w:type="dxa"/>
            <w:shd w:val="clear" w:color="auto" w:fill="F2F2F2"/>
          </w:tcPr>
          <w:p>
            <w:pPr/>
            <w:r>
              <w:t xml:space="preserve">CV error</w:t>
            </w:r>
          </w:p>
        </w:tc>
      </w:tr>
      <w:tr>
        <w:tc>
          <w:tcPr>
            <w:tcW w:w="1872" w:type="dxa"/>
          </w:tcPr>
          <w:p>
            <w:pPr/>
            <w:r>
              <w:t xml:space="preserve">bayesReact, combined</w:t>
            </w:r>
          </w:p>
        </w:tc>
        <w:tc>
          <w:tcPr>
            <w:tcW w:w="1872" w:type="dxa"/>
          </w:tcPr>
          <w:p>
            <w:pPr/>
            <w:r>
              <w:t xml:space="preserve">3.7%</w:t>
            </w:r>
          </w:p>
        </w:tc>
        <w:tc>
          <w:tcPr>
            <w:tcW w:w="1872" w:type="dxa"/>
          </w:tcPr>
          <w:p>
            <w:pPr/>
            <w:r>
              <w:t xml:space="preserve">1</w:t>
            </w:r>
          </w:p>
        </w:tc>
        <w:tc>
          <w:tcPr>
            <w:tcW w:w="1872" w:type="dxa"/>
          </w:tcPr>
          <w:p>
            <w:pPr/>
            <w:r>
              <w:t xml:space="preserve">0.1%</w:t>
            </w:r>
          </w:p>
        </w:tc>
        <w:tc>
          <w:tcPr>
            <w:tcW w:w="1872" w:type="dxa"/>
          </w:tcPr>
          <w:p>
            <w:pPr/>
            <w:r>
              <w:t xml:space="preserve">0.3%</w:t>
            </w:r>
          </w:p>
        </w:tc>
      </w:tr>
      <w:tr>
        <w:tc>
          <w:tcPr>
            <w:tcW w:w="1872" w:type="dxa"/>
          </w:tcPr>
          <w:p>
            <w:pPr/>
            <w:r>
              <w:t xml:space="preserve">miReact, combined</w:t>
            </w:r>
          </w:p>
        </w:tc>
        <w:tc>
          <w:tcPr>
            <w:tcW w:w="1872" w:type="dxa"/>
          </w:tcPr>
          <w:p>
            <w:pPr/>
            <w:r>
              <w:t xml:space="preserve">1.0%</w:t>
            </w:r>
          </w:p>
        </w:tc>
        <w:tc>
          <w:tcPr>
            <w:tcW w:w="1872" w:type="dxa"/>
          </w:tcPr>
          <w:p>
            <w:pPr/>
            <w:r>
              <w:t xml:space="preserve">3</w:t>
            </w:r>
          </w:p>
        </w:tc>
        <w:tc>
          <w:tcPr>
            <w:tcW w:w="1872" w:type="dxa"/>
          </w:tcPr>
          <w:p>
            <w:pPr/>
            <w:r>
              <w:t xml:space="preserve">0.4%</w:t>
            </w:r>
          </w:p>
        </w:tc>
        <w:tc>
          <w:tcPr>
            <w:tcW w:w="1872" w:type="dxa"/>
          </w:tcPr>
          <w:p>
            <w:pPr/>
            <w:r>
              <w:t xml:space="preserve">0.7%</w:t>
            </w:r>
          </w:p>
        </w:tc>
      </w:tr>
      <w:tr>
        <w:tc>
          <w:tcPr>
            <w:tcW w:w="1872" w:type="dxa"/>
          </w:tcPr>
          <w:p>
            <w:pPr/>
            <w:r>
              <w:t xml:space="preserve">Ours, top 200</w:t>
            </w:r>
          </w:p>
        </w:tc>
        <w:tc>
          <w:tcPr>
            <w:tcW w:w="1872" w:type="dxa"/>
          </w:tcPr>
          <w:p>
            <w:pPr/>
            <w:r>
              <w:t xml:space="preserve">0.4%</w:t>
            </w:r>
          </w:p>
        </w:tc>
        <w:tc>
          <w:tcPr>
            <w:tcW w:w="1872" w:type="dxa"/>
          </w:tcPr>
          <w:p>
            <w:pPr/>
            <w:r>
              <w:t xml:space="preserve">3</w:t>
            </w:r>
          </w:p>
        </w:tc>
        <w:tc>
          <w:tcPr>
            <w:tcW w:w="1872" w:type="dxa"/>
          </w:tcPr>
          <w:p>
            <w:pPr/>
            <w:r>
              <w:t xml:space="preserve">0.4%</w:t>
            </w:r>
          </w:p>
        </w:tc>
        <w:tc>
          <w:tcPr>
            <w:tcW w:w="1872" w:type="dxa"/>
          </w:tcPr>
          <w:p>
            <w:pPr/>
            <w:r>
              <w:t xml:space="preserve">0.8%</w:t>
            </w:r>
          </w:p>
        </w:tc>
      </w:tr>
      <w:tr>
        <w:tc>
          <w:tcPr>
            <w:tcW w:w="1872" w:type="dxa"/>
          </w:tcPr>
          <w:p>
            <w:pPr/>
            <w:r>
              <w:t xml:space="preserve">miTEA-HiRes (TargetScan), combined</w:t>
            </w:r>
          </w:p>
        </w:tc>
        <w:tc>
          <w:tcPr>
            <w:tcW w:w="1872" w:type="dxa"/>
          </w:tcPr>
          <w:p>
            <w:pPr/>
            <w:r>
              <w:t xml:space="preserve">0.1%</w:t>
            </w:r>
          </w:p>
        </w:tc>
        <w:tc>
          <w:tcPr>
            <w:tcW w:w="1872" w:type="dxa"/>
          </w:tcPr>
          <w:p>
            <w:pPr/>
            <w:r>
              <w:t xml:space="preserve">39</w:t>
            </w:r>
          </w:p>
        </w:tc>
        <w:tc>
          <w:tcPr>
            <w:tcW w:w="1872" w:type="dxa"/>
          </w:tcPr>
          <w:p>
            <w:pPr/>
            <w:r>
              <w:t xml:space="preserve">5.2%</w:t>
            </w:r>
          </w:p>
        </w:tc>
        <w:tc>
          <w:tcPr>
            <w:tcW w:w="1872" w:type="dxa"/>
          </w:tcPr>
          <w:p>
            <w:pPr/>
            <w:r>
              <w:t xml:space="preserve">5.8%</w:t>
            </w:r>
          </w:p>
        </w:tc>
      </w:tr>
      <w:tr>
        <w:tc>
          <w:tcPr>
            <w:tcW w:w="1872" w:type="dxa"/>
          </w:tcPr>
          <w:p>
            <w:pPr/>
            <w:r>
              <w:t xml:space="preserve">Ours, all targets</w:t>
            </w:r>
          </w:p>
        </w:tc>
        <w:tc>
          <w:tcPr>
            <w:tcW w:w="1872" w:type="dxa"/>
          </w:tcPr>
          <w:p>
            <w:pPr/>
            <w:r>
              <w:t xml:space="preserve">8.9%</w:t>
            </w:r>
          </w:p>
        </w:tc>
        <w:tc>
          <w:tcPr>
            <w:tcW w:w="1872" w:type="dxa"/>
          </w:tcPr>
          <w:p>
            <w:pPr/>
            <w:r>
              <w:t xml:space="preserve">43</w:t>
            </w:r>
          </w:p>
        </w:tc>
        <w:tc>
          <w:tcPr>
            <w:tcW w:w="1872" w:type="dxa"/>
          </w:tcPr>
          <w:p>
            <w:pPr/>
            <w:r>
              <w:t xml:space="preserve">5.7%</w:t>
            </w:r>
          </w:p>
        </w:tc>
        <w:tc>
          <w:tcPr>
            <w:tcW w:w="1872" w:type="dxa"/>
          </w:tcPr>
          <w:p>
            <w:pPr/>
            <w:r>
              <w:t xml:space="preserve">6.0%</w:t>
            </w:r>
          </w:p>
        </w:tc>
      </w:tr>
      <w:tr>
        <w:tc>
          <w:tcPr>
            <w:tcW w:w="1872" w:type="dxa"/>
          </w:tcPr>
          <w:p>
            <w:pPr/>
            <w:r>
              <w:t xml:space="preserve">miTEA-HiRes (miRTarBase), combined</w:t>
            </w:r>
          </w:p>
        </w:tc>
        <w:tc>
          <w:tcPr>
            <w:tcW w:w="1872" w:type="dxa"/>
          </w:tcPr>
          <w:p>
            <w:pPr/>
            <w:r>
              <w:t xml:space="preserve">23.0%</w:t>
            </w:r>
          </w:p>
        </w:tc>
        <w:tc>
          <w:tcPr>
            <w:tcW w:w="1872" w:type="dxa"/>
          </w:tcPr>
          <w:p>
            <w:pPr/>
            <w:r>
              <w:t xml:space="preserve">217</w:t>
            </w:r>
          </w:p>
        </w:tc>
        <w:tc>
          <w:tcPr>
            <w:tcW w:w="1872" w:type="dxa"/>
          </w:tcPr>
          <w:p>
            <w:pPr/>
            <w:r>
              <w:t xml:space="preserve">28.8%</w:t>
            </w:r>
          </w:p>
        </w:tc>
        <w:tc>
          <w:tcPr>
            <w:tcW w:w="1872" w:type="dxa"/>
          </w:tcPr>
          <w:p>
            <w:pPr/>
            <w:r>
              <w:t xml:space="preserve">30.5%</w:t>
            </w:r>
          </w:p>
        </w:tc>
      </w:tr>
      <w:tr>
        <w:tc>
          <w:tcPr>
            <w:tcW w:w="1872" w:type="dxa"/>
          </w:tcPr>
          <w:p>
            <w:pPr/>
            <w:r>
              <w:t xml:space="preserve">miTEA-HiRes (TargetScan), negative control</w:t>
            </w:r>
          </w:p>
        </w:tc>
        <w:tc>
          <w:tcPr>
            <w:tcW w:w="1872" w:type="dxa"/>
          </w:tcPr>
          <w:p>
            <w:pPr/>
            <w:r>
              <w:t xml:space="preserve">22.3%</w:t>
            </w:r>
          </w:p>
        </w:tc>
        <w:tc>
          <w:tcPr>
            <w:tcW w:w="1872" w:type="dxa"/>
          </w:tcPr>
          <w:p>
            <w:pPr/>
            <w:r>
              <w:t xml:space="preserve">192</w:t>
            </w:r>
          </w:p>
        </w:tc>
        <w:tc>
          <w:tcPr>
            <w:tcW w:w="1872" w:type="dxa"/>
          </w:tcPr>
          <w:p>
            <w:pPr/>
            <w:r>
              <w:t xml:space="preserve">25.5%</w:t>
            </w:r>
          </w:p>
        </w:tc>
        <w:tc>
          <w:tcPr>
            <w:tcW w:w="1872" w:type="dxa"/>
          </w:tcPr>
          <w:p>
            <w:pPr/>
            <w:r>
              <w:t xml:space="preserve">25.6%</w:t>
            </w:r>
          </w:p>
        </w:tc>
      </w:tr>
      <w:tr>
        <w:tc>
          <w:tcPr>
            <w:tcW w:w="1872" w:type="dxa"/>
          </w:tcPr>
          <w:p>
            <w:pPr/>
            <w:r>
              <w:t xml:space="preserve">Ours, negative control</w:t>
            </w:r>
          </w:p>
        </w:tc>
        <w:tc>
          <w:tcPr>
            <w:tcW w:w="1872" w:type="dxa"/>
          </w:tcPr>
          <w:p>
            <w:pPr/>
            <w:r>
              <w:t xml:space="preserve">42.8%</w:t>
            </w:r>
          </w:p>
        </w:tc>
        <w:tc>
          <w:tcPr>
            <w:tcW w:w="1872" w:type="dxa"/>
          </w:tcPr>
          <w:p>
            <w:pPr/>
            <w:r>
              <w:t xml:space="preserve">302</w:t>
            </w:r>
          </w:p>
        </w:tc>
        <w:tc>
          <w:tcPr>
            <w:tcW w:w="1872" w:type="dxa"/>
          </w:tcPr>
          <w:p>
            <w:pPr/>
            <w:r>
              <w:t xml:space="preserve">40.7%</w:t>
            </w:r>
          </w:p>
        </w:tc>
        <w:tc>
          <w:tcPr>
            <w:tcW w:w="1872" w:type="dxa"/>
          </w:tcPr>
          <w:p>
            <w:pPr/>
            <w:r>
              <w:t xml:space="preserve">41.8%</w:t>
            </w:r>
          </w:p>
        </w:tc>
      </w:tr>
    </w:tbl>
    <w:p>
      <w:pPr/>
      <w:r>
        <w:rPr>
          <w:b/>
        </w:rPr>
        <w:t xml:space="preserve">How to read it.</w:t>
      </w:r>
    </w:p>
    <w:p>
      <w:pPr>
        <w:pStyle w:val="ListParagraph"/>
        <w:numPr>
          <w:ilvl w:val="0"/>
          <w:numId w:val="3"/>
        </w:numPr>
      </w:pPr>
      <w:r>
        <w:t xml:space="preserve">miTEA-HiRes (TargetScan lists) drops from best to mid-table: its control scores are 2.8× more spread out than its KO scores, which inflated the old d.</w:t>
      </w:r>
    </w:p>
    <w:p>
      <w:pPr>
        <w:pStyle w:val="ListParagraph"/>
        <w:numPr>
          <w:ilvl w:val="0"/>
          <w:numId w:val="3"/>
        </w:numPr>
      </w:pPr>
      <w:r>
        <w:t xml:space="preserve">Both negative controls sit well below 50%, so genes that are not targets of mESC miRNAs still differ between KO and control. This could be biology or batch, so a near-zero error alone does not prove miRNA-specific signal.</w:t>
      </w:r>
    </w:p>
    <w:p>
      <w:pPr>
        <w:pStyle w:val="ListParagraph"/>
        <w:numPr>
          <w:ilvl w:val="0"/>
          <w:numId w:val="3"/>
        </w:numPr>
      </w:pPr>
      <w:r>
        <w:t xml:space="preserve">bayesReact and miReact have no negative control, so their near-perfect results cannot yet be told apart from that background.</w:t>
      </w:r>
    </w:p>
    <w:p>
      <w:pPr>
        <w:pStyle w:val="ListParagraph"/>
        <w:numPr>
          <w:ilvl w:val="0"/>
          <w:numId w:val="3"/>
        </w:numPr>
      </w:pPr>
      <w:r>
        <w:t xml:space="preserve">The top three (1–3 cells wrong) are at the floor and should not be ranked against each other.</w:t>
      </w:r>
    </w:p>
    <w:p>
      <w:pPr>
        <w:pStyle w:val="Heading2"/>
      </w:pPr>
      <w:r>
        <w:t xml:space="preserve">Setup</w:t>
      </w:r>
    </w:p>
    <w:p>
      <w:pPr/>
      <w:r>
        <w:t xml:space="preserve">Every mESC script assumes the project lives at /cfs/klemming/projects/supr/naiss2024-6-235/miRNA_footprint_new on Dardel, and sets its working directory there itself. To run elsewhere, change BASE_DIR at the top of each script.</w:t>
      </w:r>
    </w:p>
    <w:p>
      <w:pPr>
        <w:pStyle w:val="ListParagraph"/>
        <w:numPr>
          <w:ilvl w:val="0"/>
          <w:numId w:val="4"/>
        </w:numPr>
      </w:pPr>
      <w:r>
        <w:rPr>
          <w:b/>
        </w:rPr>
        <w:t xml:space="preserve">Data, already in the repo:</w:t>
      </w:r>
      <w:r>
        <w:t xml:space="preserve"> datasets/mESCs/final_counts.rds (16,991 genes × 761 cells, already CPM-normalized: every cell sums to 10⁶) and datasets/mESCs/phenotype.csv (364 KO, 397 WT; the scripts relabel WT as Control).</w:t>
      </w:r>
    </w:p>
    <w:p>
      <w:pPr>
        <w:pStyle w:val="ListParagraph"/>
        <w:numPr>
          <w:ilvl w:val="0"/>
          <w:numId w:val="4"/>
        </w:numPr>
      </w:pPr>
      <w:r>
        <w:rPr>
          <w:b/>
        </w:rPr>
        <w:t xml:space="preserve">Target lists, already in the repo:</w:t>
      </w:r>
      <w:r>
        <w:t xml:space="preserve"> resources/mouse/ holds the combined, per-family (MIR17, MIR291, MIR292) and negative-control lists. Rebuild them only if needed, with preprocess_family_targets.R on the login node, since biomaRt needs internet access.</w:t>
      </w:r>
    </w:p>
    <w:p>
      <w:pPr>
        <w:pStyle w:val="ListParagraph"/>
        <w:numPr>
          <w:ilvl w:val="0"/>
          <w:numId w:val="4"/>
        </w:numPr>
      </w:pPr>
      <w:r>
        <w:rPr>
          <w:b/>
        </w:rPr>
        <w:t xml:space="preserve">R tools:</w:t>
      </w:r>
      <w:r>
        <w:t xml:space="preserve"> run scripts/setup_tools.sh once on the login node. It clones miReact into tools/ and installs Regmex and bayesReact into tools/R_library.</w:t>
      </w:r>
    </w:p>
    <w:p>
      <w:pPr>
        <w:pStyle w:val="ListParagraph"/>
        <w:numPr>
          <w:ilvl w:val="0"/>
          <w:numId w:val="4"/>
        </w:numPr>
      </w:pPr>
      <w:r>
        <w:rPr>
          <w:b/>
        </w:rPr>
        <w:t xml:space="preserve">miTEA-HiRes:</w:t>
      </w:r>
      <w:r>
        <w:t xml:space="preserve"> needs its own conda environment, mitea (Python 3.8).</w:t>
      </w:r>
    </w:p>
    <w:p>
      <w:pPr>
        <w:pStyle w:val="Heading2"/>
      </w:pPr>
      <w:r>
        <w:t xml:space="preserve">Running each tool</w:t>
      </w:r>
    </w:p>
    <w:p>
      <w:pPr/>
      <w:r>
        <w:t xml:space="preserve">Run all commands from the project directory, with a UTF-8 locale (see Pitfalls). Each method writes its result file and per-variant density plots to analysis/mESCs/; the summary step then combines whatever is there.</w:t>
      </w:r>
    </w:p>
    <w:p>
      <w:pPr/>
      <w:r>
        <w:rPr>
          <w:b/>
        </w:rPr>
        <w:t xml:space="preserve">Our method</w:t>
      </w:r>
      <w:r>
        <w:t xml:space="preserve"> (seconds). Scores all targets, top 200, the negative control, each family and each family's top 200:</w:t>
      </w:r>
    </w:p>
    <w:p>
      <w:pPr>
        <w:pStyle w:val="Code"/>
      </w:pPr>
      <w:r>
        <w:t xml:space="preserve">Rscript scripts/mESCs/mESC_our_method_separation.R</w:t>
      </w:r>
    </w:p>
    <w:p>
      <w:pPr/>
      <w:r>
        <w:t xml:space="preserve">Output: res_our_method_separation.rds.</w:t>
      </w:r>
    </w:p>
    <w:p>
      <w:pPr/>
      <w:r>
        <w:rPr>
          <w:b/>
        </w:rPr>
        <w:t xml:space="preserve">bayesReact</w:t>
      </w:r>
      <w:r>
        <w:t xml:space="preserve"> (MCMC, one fit per family motif; uses all detected cores, so run it inside a compute allocation). Needs bayesReact in tools/R_library and miReact's mouse 3′UTR file (tools/miReact/seqs/mm.utr3.seqs.rds):</w:t>
      </w:r>
    </w:p>
    <w:p>
      <w:pPr>
        <w:pStyle w:val="Code"/>
      </w:pPr>
      <w:r>
        <w:t xml:space="preserve">Rscript scripts/mESCs/mESC_bayesreact_separation.R</w:t>
      </w:r>
    </w:p>
    <w:p>
      <w:pPr/>
      <w:r>
        <w:t xml:space="preserve">Output: res_bayesreact_separation.rds. Check the printed MCMC diagnostics (Rhat, n_eff) for each family.</w:t>
      </w:r>
    </w:p>
    <w:p>
      <w:pPr/>
      <w:r>
        <w:rPr>
          <w:b/>
        </w:rPr>
        <w:t xml:space="preserve">miReact, motif mode</w:t>
      </w:r>
      <w:r>
        <w:t xml:space="preserve"> (two steps, asynchronous):</w:t>
      </w:r>
    </w:p>
    <w:p>
      <w:pPr>
        <w:pStyle w:val="ListParagraph"/>
        <w:numPr>
          <w:ilvl w:val="0"/>
          <w:numId w:val="5"/>
        </w:numPr>
      </w:pPr>
      <w:r>
        <w:t xml:space="preserve">On the login node, not inside sbatch: </w:t>
      </w:r>
      <w:r>
        <w:rPr>
          <w:rStyle w:val="CodeChar"/>
        </w:rPr>
        <w:t xml:space="preserve">Rscript scripts/mESCs/launch_mireact_mesc.R</w:t>
      </w:r>
      <w:r>
        <w:t xml:space="preserve">. It checks that the mouse motif files exist in tools/miReact/motif.models/, then submits its own SLURM job and returns.</w:t>
      </w:r>
    </w:p>
    <w:p>
      <w:pPr>
        <w:pStyle w:val="ListParagraph"/>
        <w:numPr>
          <w:ilvl w:val="0"/>
          <w:numId w:val="5"/>
        </w:numPr>
      </w:pPr>
      <w:r>
        <w:t xml:space="preserve">When the job has finished (</w:t>
      </w:r>
      <w:r>
        <w:rPr>
          <w:rStyle w:val="CodeChar"/>
        </w:rPr>
        <w:t xml:space="preserve">squeue -u $USER</w:t>
      </w:r>
      <w:r>
        <w:t xml:space="preserve">): </w:t>
      </w:r>
      <w:r>
        <w:rPr>
          <w:rStyle w:val="CodeChar"/>
        </w:rPr>
        <w:t xml:space="preserve">Rscript scripts/mESCs/collect_mireact_mesc.R</w:t>
      </w:r>
      <w:r>
        <w:t xml:space="preserve">. It extracts the three family motifs and their sum. Output: res_mireact_separation.rds.</w:t>
      </w:r>
    </w:p>
    <w:p>
      <w:pPr/>
      <w:r>
        <w:rPr>
          <w:b/>
        </w:rPr>
        <w:t xml:space="preserve">miTEA-HiRes, TargetScan lists</w:t>
      </w:r>
      <w:r>
        <w:t xml:space="preserve"> (combined and negative control):</w:t>
      </w:r>
    </w:p>
    <w:p>
      <w:pPr>
        <w:pStyle w:val="ListParagraph"/>
        <w:numPr>
          <w:ilvl w:val="0"/>
          <w:numId w:val="6"/>
        </w:numPr>
      </w:pPr>
      <w:r>
        <w:rPr>
          <w:rStyle w:val="CodeChar"/>
        </w:rPr>
        <w:t xml:space="preserve">Rscript scripts/mESCs/export_for_mitea_mesc.R</w:t>
      </w:r>
      <w:r>
        <w:t xml:space="preserve"> writes the symbol-level counts and the two target lists to analysis/mESCs/mitea_input/.</w:t>
      </w:r>
    </w:p>
    <w:p>
      <w:pPr>
        <w:pStyle w:val="ListParagraph"/>
        <w:numPr>
          <w:ilvl w:val="0"/>
          <w:numId w:val="6"/>
        </w:numPr>
      </w:pPr>
      <w:r>
        <w:rPr>
          <w:rStyle w:val="CodeChar"/>
        </w:rPr>
        <w:t xml:space="preserve">conda activate mitea</w:t>
      </w:r>
      <w:r>
        <w:t xml:space="preserve">, then </w:t>
      </w:r>
      <w:r>
        <w:rPr>
          <w:rStyle w:val="CodeChar"/>
        </w:rPr>
        <w:t xml:space="preserve">python scripts/mESCs/run_mitea_mesc.py</w:t>
      </w:r>
      <w:r>
        <w:t xml:space="preserve">. It writes mitea_scores_combined.csv and mitea_scores_negctrl.csv.</w:t>
      </w:r>
    </w:p>
    <w:p>
      <w:pPr>
        <w:pStyle w:val="ListParagraph"/>
        <w:numPr>
          <w:ilvl w:val="0"/>
          <w:numId w:val="6"/>
        </w:numPr>
      </w:pPr>
      <w:r>
        <w:rPr>
          <w:rStyle w:val="CodeChar"/>
        </w:rPr>
        <w:t xml:space="preserve">Rscript scripts/mESCs/mitea_comparison_mesc.R</w:t>
      </w:r>
      <w:r>
        <w:t xml:space="preserve">. Output: res_mitea_separation.rds.</w:t>
      </w:r>
    </w:p>
    <w:p>
      <w:pPr/>
      <w:r>
        <w:rPr>
          <w:b/>
        </w:rPr>
        <w:t xml:space="preserve">miTEA-HiRes, bundled mouse miRTarBase</w:t>
      </w:r>
      <w:r>
        <w:t xml:space="preserve"> (per family and combined; needs step 1 above first):</w:t>
      </w:r>
    </w:p>
    <w:p>
      <w:pPr>
        <w:pStyle w:val="ListParagraph"/>
        <w:numPr>
          <w:ilvl w:val="0"/>
          <w:numId w:val="7"/>
        </w:numPr>
      </w:pPr>
      <w:r>
        <w:t xml:space="preserve">Run with the environment's own interpreter: </w:t>
      </w:r>
      <w:r>
        <w:rPr>
          <w:rStyle w:val="CodeChar"/>
        </w:rPr>
        <w:t xml:space="preserve">/cfs/klemming/projects/supr/naiss2024-6-235/conda/envs/mitea/bin/python3 scripts/mESCs/run_mitea_mesc_mirtarbase.py</w:t>
      </w:r>
      <w:r>
        <w:t xml:space="preserve">. Set N_CPUS in the script to your allocation first.</w:t>
      </w:r>
    </w:p>
    <w:p>
      <w:pPr>
        <w:pStyle w:val="ListParagraph"/>
        <w:numPr>
          <w:ilvl w:val="0"/>
          <w:numId w:val="7"/>
        </w:numPr>
      </w:pPr>
      <w:r>
        <w:rPr>
          <w:rStyle w:val="CodeChar"/>
        </w:rPr>
        <w:t xml:space="preserve">Rscript scripts/mESCs/mitea_comparison_mesc_mirtarbase.R</w:t>
      </w:r>
      <w:r>
        <w:t xml:space="preserve">. Output: res_mitea_mirtarbase_separation.rds.</w:t>
      </w:r>
    </w:p>
    <w:p>
      <w:pPr/>
      <w:r>
        <w:t xml:space="preserve">Treat the miRTarBase MIR291 and MIR292 results as unreliable: the bundled file holds only about 11 and 2 validated targets for those families.</w:t>
      </w:r>
    </w:p>
    <w:p>
      <w:pPr/>
      <w:r>
        <w:rPr>
          <w:b/>
        </w:rPr>
        <w:t xml:space="preserve">Summary across methods:</w:t>
      </w:r>
    </w:p>
    <w:p>
      <w:pPr>
        <w:pStyle w:val="Code"/>
      </w:pPr>
      <w:r>
        <w:t xml:space="preserve">Rscript scripts/mESCs/plot_all_mesc_separation.R</w:t>
      </w:r>
    </w:p>
    <w:p>
      <w:pPr/>
      <w:r>
        <w:t xml:space="preserve">It skips any method without a result file and writes separation_comparison_combined.pdf, separation_comparison_negctrl.pdf, separation_comparison_per_family.pdf and res_all_methods_separation_combined.rds.</w:t>
      </w:r>
    </w:p>
    <w:p>
      <w:pPr>
        <w:pStyle w:val="Heading2"/>
      </w:pPr>
      <w:r>
        <w:t xml:space="preserve">Pitfalls</w:t>
      </w:r>
    </w:p>
    <w:p>
      <w:pPr>
        <w:pStyle w:val="ListParagraph"/>
        <w:numPr>
          <w:ilvl w:val="0"/>
          <w:numId w:val="8"/>
        </w:numPr>
      </w:pPr>
      <w:r>
        <w:rPr>
          <w:b/>
        </w:rPr>
        <w:t xml:space="preserve">Locale.</w:t>
      </w:r>
      <w:r>
        <w:t xml:space="preserve"> phenotype.csv starts with a byte-order mark. Under a non-UTF-8 locale (for example LANG=C), R names the first column X...cells, pheno$cells is empty and every cell drops out of the merge. Tested: it reads correctly under C.UTF-8. Set </w:t>
      </w:r>
      <w:r>
        <w:rPr>
          <w:rStyle w:val="CodeChar"/>
        </w:rPr>
        <w:t xml:space="preserve">export LANG=en_US.UTF-8</w:t>
      </w:r>
      <w:r>
        <w:t xml:space="preserve"> (or C.UTF-8) before running.</w:t>
      </w:r>
    </w:p>
    <w:p>
      <w:pPr>
        <w:pStyle w:val="ListParagraph"/>
        <w:numPr>
          <w:ilvl w:val="0"/>
          <w:numId w:val="8"/>
        </w:numPr>
      </w:pPr>
      <w:r>
        <w:rPr>
          <w:b/>
        </w:rPr>
        <w:t xml:space="preserve">Missing scores stop the metric.</w:t>
      </w:r>
      <w:r>
        <w:t xml:space="preserve"> run_mitea_mesc.py turns p = 0 (infinite score) into NaN, and sep_error() stops on any NA rather than silently dropping cells. The current saved files have none; if a rerun produces some, decide how to handle them explicitly.</w:t>
      </w:r>
    </w:p>
    <w:p>
      <w:pPr>
        <w:pStyle w:val="ListParagraph"/>
        <w:numPr>
          <w:ilvl w:val="0"/>
          <w:numId w:val="8"/>
        </w:numPr>
      </w:pPr>
      <w:r>
        <w:rPr>
          <w:b/>
        </w:rPr>
        <w:t xml:space="preserve">Path mismatch.</w:t>
      </w:r>
      <w:r>
        <w:t xml:space="preserve"> setup_tools.sh uses projects/snic/naiss2024-6-235, while every mESC script uses projects/supr/naiss2024-6-235. Check which one exists before running setup.</w:t>
      </w:r>
    </w:p>
    <w:p>
      <w:pPr>
        <w:pStyle w:val="ListParagraph"/>
        <w:numPr>
          <w:ilvl w:val="0"/>
          <w:numId w:val="8"/>
        </w:numPr>
      </w:pPr>
      <w:r>
        <w:rPr>
          <w:b/>
        </w:rPr>
        <w:t xml:space="preserve">Wrong script name.</w:t>
      </w:r>
      <w:r>
        <w:t xml:space="preserve"> The message printed by launch_mireact_mesc.R tells you to run collect_mireact_mesc_results.R; the real file is collect_mireact_mesc.R.</w:t>
      </w:r>
    </w:p>
    <w:p>
      <w:pPr>
        <w:pStyle w:val="ListParagraph"/>
        <w:numPr>
          <w:ilvl w:val="0"/>
          <w:numId w:val="8"/>
        </w:numPr>
      </w:pPr>
      <w:r>
        <w:rPr>
          <w:b/>
        </w:rPr>
        <w:t xml:space="preserve">Random seed.</w:t>
      </w:r>
      <w:r>
        <w:t xml:space="preserve"> sep_error_cv() calls set.seed(1), which resets R's random stream. This is harmless in the current scripts because nothing random runs after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mESC Drosha-KO benchmark separation metric and how to run each tool</dc:title>
  <dc:description>Claude Docs node/a3e81c09-7456@5 docx-w6</dc:description>
  <cp:revision>5</cp:revision>
</cp:coreProperties>
</file>