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miDGD setup and usage notes</w:t>
      </w:r>
    </w:p>
    <w:p>
      <w:pPr/>
      <w:r>
        <w:t xml:space="preserve">Oct 8, 2026</w:t>
      </w:r>
      <w:r>
        <w:t xml:space="preserve"> · </w:t>
      </w:r>
      <w:r>
        <w:t xml:space="preserve">@Panos</w:t>
      </w:r>
    </w:p>
    <w:p>
      <w:pPr>
        <w:pStyle w:val="Heading2"/>
      </w:pPr>
      <w:r>
        <w:t xml:space="preserve">What we did</w:t>
      </w:r>
    </w:p>
    <w:p>
      <w:pPr/>
      <w:r>
        <w:t xml:space="preserve">miDGD is now set up in </w:t>
      </w:r>
      <w:r>
        <w:rPr>
          <w:rStyle w:val="CodeChar"/>
        </w:rPr>
        <w:t xml:space="preserve">tools/</w:t>
      </w:r>
      <w:r>
        <w:t xml:space="preserve"> and runs on the HEK293 Smart-seq3 data; the feature-name blocker that set it aside is resolved.</w:t>
      </w:r>
    </w:p>
    <w:p>
      <w:pPr/>
      <w:r>
        <w:t xml:space="preserve">miDGD (</w:t>
      </w:r>
      <w:hyperlink r:id="rId3" w:history="1">
        <w:r>
          <w:rPr>
            <w:rStyle w:val="Hyperlink"/>
          </w:rPr>
          <w:t xml:space="preserve">Zamani, Rasmussen et al., bioRxiv v2, Sep 2026</w:t>
        </w:r>
      </w:hyperlink>
      <w:r>
        <w:t xml:space="preserve">) predicts miRNA expression from mRNA counts alone. It uses no target list, seed motif or 3'UTR sequence. Any miRNA-target link it carries was learned implicitly from paired bulk mRNA-miRNA data (TCGA, GTEx, R2 RNA Atlas, Smart-seq-total).</w:t>
      </w:r>
    </w:p>
    <w:p>
      <w:pPr/>
      <w:r>
        <w:t xml:space="preserve">Why it was revisited: the earlier blocker was a restricted 42.3 GB Zenodo record holding the feature names. The v2 preprint points to a new, open dataset record (</w:t>
      </w:r>
      <w:hyperlink r:id="rId4" w:history="1">
        <w:r>
          <w:rPr>
            <w:rStyle w:val="Hyperlink"/>
          </w:rPr>
          <w:t xml:space="preserve">Zenodo 21885644</w:t>
        </w:r>
      </w:hyperlink>
      <w:r>
        <w:t xml:space="preserve">, CC-BY 4.0, 4.7 GB).</w:t>
      </w:r>
    </w:p>
    <w:p>
      <w:pPr/>
      <w:r>
        <w:t xml:space="preserve">What was established:</w:t>
      </w:r>
    </w:p>
    <w:p>
      <w:pPr>
        <w:pStyle w:val="ListParagraph"/>
        <w:numPr>
          <w:ilvl w:val="0"/>
          <w:numId w:val="2"/>
        </w:numPr>
      </w:pPr>
      <w:r>
        <w:t xml:space="preserve">All seven trained checkpoints are on GitHub in </w:t>
      </w:r>
      <w:r>
        <w:rPr>
          <w:rStyle w:val="CodeChar"/>
        </w:rPr>
        <w:t xml:space="preserve">miDGD_paper/models/</w:t>
      </w:r>
      <w:r>
        <w:t xml:space="preserve">; their input and output sizes differ (see the model table below).</w:t>
      </w:r>
    </w:p>
    <w:p>
      <w:pPr>
        <w:pStyle w:val="ListParagraph"/>
        <w:numPr>
          <w:ilvl w:val="0"/>
          <w:numId w:val="2"/>
        </w:numPr>
      </w:pPr>
      <w:r>
        <w:t xml:space="preserve">Feature order for </w:t>
      </w:r>
      <w:r>
        <w:rPr>
          <w:rStyle w:val="CodeChar"/>
        </w:rPr>
        <w:t xml:space="preserve">1-tcga.pth</w:t>
      </w:r>
      <w:r>
        <w:t xml:space="preserve"> was verified without PyTorch: decoding the best-fitting GMM component per bundled TCGA test sample gave mean per-miRNA Spearman 0.45; shuffled gene order collapsed all samples onto one component. This checks order only, not performance.</w:t>
      </w:r>
    </w:p>
    <w:p>
      <w:pPr>
        <w:pStyle w:val="ListParagraph"/>
        <w:numPr>
          <w:ilvl w:val="0"/>
          <w:numId w:val="2"/>
        </w:numPr>
      </w:pPr>
      <w:r>
        <w:t xml:space="preserve">Feature lists for models 2-5 are the column headers of each model's training matrices, read from the Zenodo zip.</w:t>
      </w:r>
    </w:p>
    <w:p>
      <w:pPr>
        <w:pStyle w:val="ListParagraph"/>
        <w:numPr>
          <w:ilvl w:val="0"/>
          <w:numId w:val="2"/>
        </w:numPr>
      </w:pPr>
      <w:r>
        <w:t xml:space="preserve">Missing genes are passed as NaN, which the NB likelihood skips; the authors do the same for their single-cell data.</w:t>
      </w:r>
    </w:p>
    <w:p>
      <w:pPr>
        <w:pStyle w:val="ListParagraph"/>
        <w:numPr>
          <w:ilvl w:val="0"/>
          <w:numId w:val="2"/>
        </w:numPr>
      </w:pPr>
      <w:r>
        <w:t xml:space="preserve">Outputs are per-cell decoder proportions, not counts. The authors scale by the observed miRNA library, which mRNA-only data lacks.</w:t>
      </w:r>
    </w:p>
    <w:p>
      <w:pPr/>
      <w:r>
        <w:t xml:space="preserve">Files: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setup_midgd.sh</w:t>
            </w:r>
          </w:p>
        </w:tc>
        <w:tc>
          <w:tcPr>
            <w:tcW w:w="4680" w:type="dxa"/>
          </w:tcPr>
          <w:p>
            <w:pPr/>
            <w:r>
              <w:t xml:space="preserve">Clones both repos at pinned commits, builds the </w:t>
            </w:r>
            <w:r>
              <w:rPr>
                <w:rStyle w:val="CodeChar"/>
              </w:rPr>
              <w:t xml:space="preserve">midgd</w:t>
            </w:r>
            <w:r>
              <w:t xml:space="preserve"> conda env, writes </w:t>
            </w:r>
            <w:r>
              <w:rPr>
                <w:rStyle w:val="CodeChar"/>
              </w:rPr>
              <w:t xml:space="preserve">tools/midgd_features/&lt;model&gt;/{mrna,mirna}.txt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run_midgd.py</w:t>
            </w:r>
          </w:p>
        </w:tc>
        <w:tc>
          <w:tcPr>
            <w:tcW w:w="4680" w:type="dxa"/>
          </w:tcPr>
          <w:p>
            <w:pPr/>
            <w:r>
              <w:t xml:space="preserve">Runs inference on one count matrix with one checkpoint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midgd_gfp_correlation.R</w:t>
            </w:r>
          </w:p>
        </w:tc>
        <w:tc>
          <w:tcPr>
            <w:tcW w:w="4680" w:type="dxa"/>
          </w:tcPr>
          <w:p>
            <w:pPr/>
            <w:r>
              <w:t xml:space="preserve">HEK293-specific: scores predicted miR-124 against GFP fluorescence, all and Dox-induced QC cells, via </w:t>
            </w:r>
            <w:r>
              <w:rPr>
                <w:rStyle w:val="CodeChar"/>
              </w:rPr>
              <w:t xml:space="preserve">evaluate_score_vs_gfp()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.gitignore</w:t>
            </w:r>
          </w:p>
        </w:tc>
        <w:tc>
          <w:tcPr>
            <w:tcW w:w="4680" w:type="dxa"/>
          </w:tcPr>
          <w:p>
            <w:pPr/>
            <w:r>
              <w:t xml:space="preserve">Excludes </w:t>
            </w:r>
            <w:r>
              <w:rPr>
                <w:rStyle w:val="CodeChar"/>
              </w:rPr>
              <w:t xml:space="preserve">tools/miDGD/</w:t>
            </w:r>
            <w:r>
              <w:t xml:space="preserve">, </w:t>
            </w:r>
            <w:r>
              <w:rPr>
                <w:rStyle w:val="CodeChar"/>
              </w:rPr>
              <w:t xml:space="preserve">tools/miDGD_paper/</w:t>
            </w:r>
            <w:r>
              <w:t xml:space="preserve">, </w:t>
            </w:r>
            <w:r>
              <w:rPr>
                <w:rStyle w:val="CodeChar"/>
              </w:rPr>
              <w:t xml:space="preserve">tools/midgd_data.zip</w:t>
            </w:r>
            <w:r>
              <w:t xml:space="preserve">, </w:t>
            </w:r>
            <w:r>
              <w:rPr>
                <w:rStyle w:val="CodeChar"/>
              </w:rPr>
              <w:t xml:space="preserve">tools/midgd_features/</w:t>
            </w:r>
          </w:p>
        </w:tc>
      </w:tr>
    </w:tbl>
    <w:p>
      <w:pPr/>
      <w:r>
        <w:t xml:space="preserve">One fix during setup: the Zenodo header step originally piped Python into </w:t>
      </w:r>
      <w:r>
        <w:rPr>
          <w:rStyle w:val="CodeChar"/>
        </w:rPr>
        <w:t xml:space="preserve">conda run</w:t>
      </w:r>
      <w:r>
        <w:t xml:space="preserve"> via a heredoc, which can run an empty script silently. It now writes the code to a file and runs it with </w:t>
      </w:r>
      <w:r>
        <w:rPr>
          <w:rStyle w:val="CodeChar"/>
        </w:rPr>
        <w:t xml:space="preserve">--no-capture-output</w:t>
      </w:r>
      <w:r>
        <w:t xml:space="preserve">.</w:t>
      </w:r>
    </w:p>
    <w:p>
      <w:pPr>
        <w:pStyle w:val="Heading2"/>
      </w:pPr>
      <w:r>
        <w:t xml:space="preserve">Running miDGD on another dataset</w:t>
      </w:r>
    </w:p>
    <w:p>
      <w:pPr/>
      <w:r>
        <w:t xml:space="preserve">Any human dataset works if you can export raw gene counts as a genes x cells TSV with Ensembl IDs; three commands produce per-cell miRNA predictions.</w:t>
      </w:r>
    </w:p>
    <w:p>
      <w:pPr/>
      <w:r>
        <w:t xml:space="preserve">Input requirements: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Raw integer counts</w:t>
      </w:r>
      <w:r>
        <w:t xml:space="preserve"> (UMI or reads), not normalised values. The script stops on non-integers.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All genes</w:t>
      </w:r>
      <w:r>
        <w:t xml:space="preserve">, not a QC-filtered subset. Genes absent from your annotation become NaN; below 90% of model genes present, the script warns, because the library size is then mis-scaled.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Exonic counts</w:t>
      </w:r>
      <w:r>
        <w:t xml:space="preserve"> where you have a choice (zUMIs </w:t>
      </w:r>
      <w:r>
        <w:rPr>
          <w:rStyle w:val="CodeChar"/>
        </w:rPr>
        <w:t xml:space="preserve">$umicount$exon$all</w:t>
      </w:r>
      <w:r>
        <w:t xml:space="preserve">, not </w:t>
      </w:r>
      <w:r>
        <w:rPr>
          <w:rStyle w:val="CodeChar"/>
        </w:rPr>
        <w:t xml:space="preserve">inex</w:t>
      </w:r>
      <w:r>
        <w:t xml:space="preserve">), to match the bulk training data.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Human Ensembl gene IDs</w:t>
      </w:r>
      <w:r>
        <w:t xml:space="preserve"> as row names; version suffixes are stripped automatically.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Unique cell IDs</w:t>
      </w:r>
      <w:r>
        <w:t xml:space="preserve"> as column names. When combining plates, prefix with the plate (</w:t>
      </w:r>
      <w:r>
        <w:rPr>
          <w:rStyle w:val="CodeChar"/>
        </w:rPr>
        <w:t xml:space="preserve">&lt;plate&gt;_&lt;barcode&gt;</w:t>
      </w:r>
      <w:r>
        <w:t xml:space="preserve">), as bare barcodes repeat across plates.</w:t>
      </w:r>
    </w:p>
    <w:p>
      <w:pPr/>
      <w:r>
        <w:t xml:space="preserve">Steps, run from the project root:</w:t>
      </w:r>
    </w:p>
    <w:p>
      <w:pPr>
        <w:pStyle w:val="ListParagraph"/>
        <w:numPr>
          <w:ilvl w:val="0"/>
          <w:numId w:val="4"/>
        </w:numPr>
      </w:pPr>
      <w:r>
        <w:t xml:space="preserve">Export the counts from R (zUMIs example; one block per plate, then combine):</w:t>
      </w:r>
    </w:p>
    <w:p>
      <w:pPr>
        <w:pStyle w:val="Code"/>
        <w:ind w:left="720"/>
      </w:pPr>
      <w:bookmarkStart w:id="1" w:name="bongo_lang_r_1"/>
      <w:bookmarkEnd w:id="1"/>
      <w:r>
        <w:t xml:space="preserve">library(Matrix)</w:t>
        <w:br/>
        <w:t xml:space="preserve">plates &lt;- c("101", "103", "105")</w:t>
        <w:br/>
        <w:t xml:space="preserve">mats &lt;- lapply(plates, function(p) {</w:t>
        <w:br/>
        <w:t xml:space="preserve">  m &lt;- readRDS(sprintf("&lt;raw_dir&gt;/&lt;prefix&gt;_%s.dgecounts.rds", p))$umicount$exon$all</w:t>
        <w:br/>
        <w:t xml:space="preserve">  colnames(m) &lt;- paste0(p, "_", colnames(m)); m</w:t>
        <w:br/>
        <w:t xml:space="preserve">})</w:t>
        <w:br/>
        <w:t xml:space="preserve">genes &lt;- Reduce(union, lapply(mats, rownames))</w:t>
        <w:br/>
        <w:t xml:space="preserve">m &lt;- do.call(cbind, lapply(mats, function(x) {</w:t>
        <w:br/>
        <w:t xml:space="preserve">  y &lt;- Matrix(0, length(genes), ncol(x), dimnames = list(genes, colnames(x)), sparse = TRUE)</w:t>
        <w:br/>
        <w:t xml:space="preserve">  y[rownames(x), ] &lt;- x; y }))</w:t>
        <w:br/>
        <w:t xml:space="preserve">data.table::fwrite(data.table::as.data.table(as.matrix(m), keep.rownames = "gene_id"),</w:t>
        <w:br/>
        <w:t xml:space="preserve">                   "&lt;dataset&gt;_exon_umi.tsv", sep = "\t")</w:t>
      </w:r>
    </w:p>
    <w:p>
      <w:pPr>
        <w:pStyle w:val="ListParagraph"/>
        <w:ind w:left="720"/>
      </w:pPr>
      <w:r>
        <w:t xml:space="preserve">Restrict columns to your QC-passing barcodes first if the dgecounts file holds empty wells.</w:t>
      </w:r>
    </w:p>
    <w:p>
      <w:pPr>
        <w:pStyle w:val="ListParagraph"/>
        <w:numPr>
          <w:ilvl w:val="0"/>
          <w:numId w:val="4"/>
        </w:numPr>
      </w:pPr>
      <w:r>
        <w:t xml:space="preserve">Run inference (CPU is fine; about 1,000 cells take minutes):</w:t>
      </w:r>
    </w:p>
    <w:p>
      <w:pPr>
        <w:pStyle w:val="Code"/>
        <w:ind w:left="720"/>
      </w:pPr>
      <w:bookmarkStart w:id="2" w:name="bongo_lang_bash_2"/>
      <w:bookmarkEnd w:id="2"/>
      <w:r>
        <w:t xml:space="preserve">conda activate midgd</w:t>
        <w:br/>
        <w:t xml:space="preserve">python &lt;path&gt;/run_midgd.py \</w:t>
        <w:br/>
        <w:t xml:space="preserve">  --repo tools/miDGD_paper \</w:t>
        <w:br/>
        <w:t xml:space="preserve">  --model tools/miDGD_paper/models/4a-tcga-gtex-r2.pth \</w:t>
        <w:br/>
        <w:t xml:space="preserve">  --features tools/midgd_features/4a-tcga-gtex-r2 \</w:t>
        <w:br/>
        <w:t xml:space="preserve">  --counts &lt;dataset&gt;_exon_umi.tsv \</w:t>
        <w:br/>
        <w:t xml:space="preserve">  --mirna hsa-miR-124-3p \</w:t>
        <w:br/>
        <w:t xml:space="preserve">  --out analysis/&lt;dataset&gt;/midgd/4a</w:t>
      </w:r>
    </w:p>
    <w:p>
      <w:pPr>
        <w:pStyle w:val="ListParagraph"/>
        <w:ind w:left="720"/>
      </w:pPr>
      <w:r>
        <w:rPr>
          <w:rStyle w:val="CodeChar"/>
        </w:rPr>
        <w:t xml:space="preserve">--model</w:t>
      </w:r>
      <w:r>
        <w:t xml:space="preserve"> and </w:t>
      </w:r>
      <w:r>
        <w:rPr>
          <w:rStyle w:val="CodeChar"/>
        </w:rPr>
        <w:t xml:space="preserve">--features</w:t>
      </w:r>
      <w:r>
        <w:t xml:space="preserve"> must name the same model. </w:t>
      </w:r>
      <w:r>
        <w:rPr>
          <w:rStyle w:val="CodeChar"/>
        </w:rPr>
        <w:t xml:space="preserve">--mirna</w:t>
      </w:r>
      <w:r>
        <w:t xml:space="preserve"> only checks that your miRNA is an output; all miRNAs are written.</w:t>
      </w:r>
    </w:p>
    <w:p>
      <w:pPr>
        <w:pStyle w:val="ListParagraph"/>
        <w:numPr>
          <w:ilvl w:val="0"/>
          <w:numId w:val="4"/>
        </w:numPr>
      </w:pPr>
      <w:r>
        <w:t xml:space="preserve">Read the results: </w:t>
      </w:r>
      <w:r>
        <w:rPr>
          <w:rStyle w:val="CodeChar"/>
        </w:rPr>
        <w:t xml:space="preserve">&lt;out&gt;_mirna_prop.tsv</w:t>
      </w:r>
      <w:r>
        <w:t xml:space="preserve"> (cells x miRNAs, proportions summing to 1 per cell) and </w:t>
      </w:r>
      <w:r>
        <w:rPr>
          <w:rStyle w:val="CodeChar"/>
        </w:rPr>
        <w:t xml:space="preserve">&lt;out&gt;_latent.tsv</w:t>
      </w:r>
      <w:r>
        <w:t xml:space="preserve"> (cells x latent dimensions). Correlate the miRNA column with your own ground truth using Spearman; scale does not matter.</w:t>
      </w:r>
    </w:p>
    <w:p>
      <w:pPr/>
      <w:r>
        <w:t xml:space="preserve">For HEK293-like data with the GFP table, </w:t>
      </w:r>
      <w:r>
        <w:rPr>
          <w:rStyle w:val="CodeChar"/>
        </w:rPr>
        <w:t xml:space="preserve">midgd_gfp_correlation.R</w:t>
      </w:r>
      <w:r>
        <w:t xml:space="preserve"> does step 3. For other datasets, copy it and swap </w:t>
      </w:r>
      <w:r>
        <w:rPr>
          <w:rStyle w:val="CodeChar"/>
        </w:rPr>
        <w:t xml:space="preserve">load_gfp_truth()</w:t>
      </w:r>
      <w:r>
        <w:t xml:space="preserve"> for that dataset's ground truth; the parsing and cell-ID checks carry over.</w:t>
      </w:r>
    </w:p>
    <w:p>
      <w:pPr/>
      <w:r>
        <w:t xml:space="preserve">Mouse data cannot be run: every checkpoint is human-only.</w:t>
      </w:r>
    </w:p>
    <w:p>
      <w:pPr>
        <w:pStyle w:val="Heading2"/>
      </w:pPr>
      <w:r>
        <w:t xml:space="preserve">Choosing a model and caveats</w:t>
      </w:r>
    </w:p>
    <w:p>
      <w:pPr/>
      <w:r>
        <w:t xml:space="preserve">Use </w:t>
      </w:r>
      <w:r>
        <w:rPr>
          <w:rStyle w:val="CodeChar"/>
        </w:rPr>
        <w:t xml:space="preserve">4a-tcga-gtex-r2</w:t>
      </w:r>
      <w:r>
        <w:t xml:space="preserve"> by default for single cells; switch only if your miRNA is missing from it or your cells match another training set better.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Training data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mRNA in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miRNA out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Arms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1-tcga</w:t>
            </w:r>
          </w:p>
        </w:tc>
        <w:tc>
          <w:tcPr>
            <w:tcW w:w="1872" w:type="dxa"/>
          </w:tcPr>
          <w:p>
            <w:pPr/>
            <w:r>
              <w:t xml:space="preserve">TCGA tumours</w:t>
            </w:r>
          </w:p>
        </w:tc>
        <w:tc>
          <w:tcPr>
            <w:tcW w:w="1872" w:type="dxa"/>
          </w:tcPr>
          <w:p>
            <w:pPr/>
            <w:r>
              <w:t xml:space="preserve">18,393</w:t>
            </w:r>
          </w:p>
        </w:tc>
        <w:tc>
          <w:tcPr>
            <w:tcW w:w="1872" w:type="dxa"/>
          </w:tcPr>
          <w:p>
            <w:pPr/>
            <w:r>
              <w:t xml:space="preserve">755</w:t>
            </w:r>
          </w:p>
        </w:tc>
        <w:tc>
          <w:tcPr>
            <w:tcW w:w="1872" w:type="dxa"/>
          </w:tcPr>
          <w:p>
            <w:pPr/>
            <w:r>
              <w:t xml:space="preserve">5p/3p separate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2-gtex</w:t>
            </w:r>
          </w:p>
        </w:tc>
        <w:tc>
          <w:tcPr>
            <w:tcW w:w="1872" w:type="dxa"/>
          </w:tcPr>
          <w:p>
            <w:pPr/>
            <w:r>
              <w:t xml:space="preserve">GTEx healthy tissue</w:t>
            </w:r>
          </w:p>
        </w:tc>
        <w:tc>
          <w:tcPr>
            <w:tcW w:w="1872" w:type="dxa"/>
          </w:tcPr>
          <w:p>
            <w:pPr/>
            <w:r>
              <w:t xml:space="preserve">18,393</w:t>
            </w:r>
          </w:p>
        </w:tc>
        <w:tc>
          <w:tcPr>
            <w:tcW w:w="1872" w:type="dxa"/>
          </w:tcPr>
          <w:p>
            <w:pPr/>
            <w:r>
              <w:t xml:space="preserve">755</w:t>
            </w:r>
          </w:p>
        </w:tc>
        <w:tc>
          <w:tcPr>
            <w:tcW w:w="1872" w:type="dxa"/>
          </w:tcPr>
          <w:p>
            <w:pPr/>
            <w:r>
              <w:t xml:space="preserve">5p/3p separate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3a-tcga-gtex</w:t>
            </w:r>
          </w:p>
        </w:tc>
        <w:tc>
          <w:tcPr>
            <w:tcW w:w="1872" w:type="dxa"/>
          </w:tcPr>
          <w:p>
            <w:pPr/>
            <w:r>
              <w:t xml:space="preserve">TCGA + GTEx</w:t>
            </w:r>
          </w:p>
        </w:tc>
        <w:tc>
          <w:tcPr>
            <w:tcW w:w="1872" w:type="dxa"/>
          </w:tcPr>
          <w:p>
            <w:pPr/>
            <w:r>
              <w:t xml:space="preserve">18,393</w:t>
            </w:r>
          </w:p>
        </w:tc>
        <w:tc>
          <w:tcPr>
            <w:tcW w:w="1872" w:type="dxa"/>
          </w:tcPr>
          <w:p>
            <w:pPr/>
            <w:r>
              <w:t xml:space="preserve">755</w:t>
            </w:r>
          </w:p>
        </w:tc>
        <w:tc>
          <w:tcPr>
            <w:tcW w:w="1872" w:type="dxa"/>
          </w:tcPr>
          <w:p>
            <w:pPr/>
            <w:r>
              <w:t xml:space="preserve">5p/3p separate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3b-tcga-gtex-collapsed</w:t>
            </w:r>
          </w:p>
        </w:tc>
        <w:tc>
          <w:tcPr>
            <w:tcW w:w="1872" w:type="dxa"/>
          </w:tcPr>
          <w:p>
            <w:pPr/>
            <w:r>
              <w:t xml:space="preserve">TCGA + GTEx</w:t>
            </w:r>
          </w:p>
        </w:tc>
        <w:tc>
          <w:tcPr>
            <w:tcW w:w="1872" w:type="dxa"/>
          </w:tcPr>
          <w:p>
            <w:pPr/>
            <w:r>
              <w:t xml:space="preserve">18,393</w:t>
            </w:r>
          </w:p>
        </w:tc>
        <w:tc>
          <w:tcPr>
            <w:tcW w:w="1872" w:type="dxa"/>
          </w:tcPr>
          <w:p>
            <w:pPr/>
            <w:r>
              <w:t xml:space="preserve">418</w:t>
            </w:r>
          </w:p>
        </w:tc>
        <w:tc>
          <w:tcPr>
            <w:tcW w:w="1872" w:type="dxa"/>
          </w:tcPr>
          <w:p>
            <w:pPr/>
            <w:r>
              <w:t xml:space="preserve">collapsed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4a-tcga-gtex-r2</w:t>
            </w:r>
          </w:p>
        </w:tc>
        <w:tc>
          <w:tcPr>
            <w:tcW w:w="1872" w:type="dxa"/>
          </w:tcPr>
          <w:p>
            <w:pPr/>
            <w:r>
              <w:t xml:space="preserve">+ R2 cell lines</w:t>
            </w:r>
          </w:p>
        </w:tc>
        <w:tc>
          <w:tcPr>
            <w:tcW w:w="1872" w:type="dxa"/>
          </w:tcPr>
          <w:p>
            <w:pPr/>
            <w:r>
              <w:t xml:space="preserve">18,076</w:t>
            </w:r>
          </w:p>
        </w:tc>
        <w:tc>
          <w:tcPr>
            <w:tcW w:w="1872" w:type="dxa"/>
          </w:tcPr>
          <w:p>
            <w:pPr/>
            <w:r>
              <w:t xml:space="preserve">728</w:t>
            </w:r>
          </w:p>
        </w:tc>
        <w:tc>
          <w:tcPr>
            <w:tcW w:w="1872" w:type="dxa"/>
          </w:tcPr>
          <w:p>
            <w:pPr/>
            <w:r>
              <w:t xml:space="preserve">5p/3p separate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4b-tcga-gtex-r2-collapsed</w:t>
            </w:r>
          </w:p>
        </w:tc>
        <w:tc>
          <w:tcPr>
            <w:tcW w:w="1872" w:type="dxa"/>
          </w:tcPr>
          <w:p>
            <w:pPr/>
            <w:r>
              <w:t xml:space="preserve">+ R2 cell lines</w:t>
            </w:r>
          </w:p>
        </w:tc>
        <w:tc>
          <w:tcPr>
            <w:tcW w:w="1872" w:type="dxa"/>
          </w:tcPr>
          <w:p>
            <w:pPr/>
            <w:r>
              <w:t xml:space="preserve">18,076</w:t>
            </w:r>
          </w:p>
        </w:tc>
        <w:tc>
          <w:tcPr>
            <w:tcW w:w="1872" w:type="dxa"/>
          </w:tcPr>
          <w:p>
            <w:pPr/>
            <w:r>
              <w:t xml:space="preserve">414</w:t>
            </w:r>
          </w:p>
        </w:tc>
        <w:tc>
          <w:tcPr>
            <w:tcW w:w="1872" w:type="dxa"/>
          </w:tcPr>
          <w:p>
            <w:pPr/>
            <w:r>
              <w:t xml:space="preserve">collapsed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5-tcga-gtex-r2-smartseq</w:t>
            </w:r>
          </w:p>
        </w:tc>
        <w:tc>
          <w:tcPr>
            <w:tcW w:w="1872" w:type="dxa"/>
          </w:tcPr>
          <w:p>
            <w:pPr/>
            <w:r>
              <w:t xml:space="preserve">+ Smart-seq-total (HDFa, HEK293T, MCF7)</w:t>
            </w:r>
          </w:p>
        </w:tc>
        <w:tc>
          <w:tcPr>
            <w:tcW w:w="1872" w:type="dxa"/>
          </w:tcPr>
          <w:p>
            <w:pPr/>
            <w:r>
              <w:t xml:space="preserve">15,625</w:t>
            </w:r>
          </w:p>
        </w:tc>
        <w:tc>
          <w:tcPr>
            <w:tcW w:w="1872" w:type="dxa"/>
          </w:tcPr>
          <w:p>
            <w:pPr/>
            <w:r>
              <w:t xml:space="preserve">156</w:t>
            </w:r>
          </w:p>
        </w:tc>
        <w:tc>
          <w:tcPr>
            <w:tcW w:w="1872" w:type="dxa"/>
          </w:tcPr>
          <w:p>
            <w:pPr/>
            <w:r>
              <w:t xml:space="preserve">collapsed</w:t>
            </w:r>
          </w:p>
        </w:tc>
      </w:tr>
    </w:tbl>
    <w:p>
      <w:pPr/>
      <w:r>
        <w:t xml:space="preserve">Why 4a: it keeps 5p and 3p separate and includes cell lines. TCGA+GTEx+R2 was the best training set on the paper's independent single-cell test (mean Spearman 0.25, PSCSR-seq). Model 5 is closest to HEK293 but outputs only 156 miRNAs; check </w:t>
      </w:r>
      <w:r>
        <w:rPr>
          <w:rStyle w:val="CodeChar"/>
        </w:rPr>
        <w:t xml:space="preserve">tools/midgd_features/5-tcga-gtex-r2-smartseq/mirna.txt</w:t>
      </w:r>
      <w:r>
        <w:t xml:space="preserve"> for yours.</w:t>
      </w:r>
    </w:p>
    <w:p>
      <w:pPr/>
      <w:r>
        <w:t xml:space="preserve">Caveats to check on every new dataset: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Arm-separated models are untested on single cells.</w:t>
      </w:r>
      <w:r>
        <w:t xml:space="preserve"> The paper's single-cell results all used collapsed models.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Predictions follow tissue programs, not targets.</w:t>
      </w:r>
      <w:r>
        <w:t xml:space="preserve"> A miRNA expressed outside its usual context (a transgene, an atypical cell type) may be predicted near zero. Low correlation there is expected, not a setup error.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the spread first.</w:t>
      </w:r>
      <w:r>
        <w:t xml:space="preserve"> If the predicted miRNA is near-constant across cells, the correlation is noise; </w:t>
      </w:r>
      <w:r>
        <w:rPr>
          <w:rStyle w:val="CodeChar"/>
        </w:rPr>
        <w:t xml:space="preserve">midgd_gfp_correlation.R</w:t>
      </w:r>
      <w:r>
        <w:t xml:space="preserve"> prints this.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Sequencing depth.</w:t>
      </w:r>
      <w:r>
        <w:t xml:space="preserve"> Compare the prediction with per-cell library size; depth correlated with GFP (rho -0.29) in the HEK293 data.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Convergence was not checked.</w:t>
      </w:r>
      <w:r>
        <w:t xml:space="preserve"> Inference uses the authors' default of 50 optimisation steps; rerunning with </w:t>
      </w:r>
      <w:r>
        <w:rPr>
          <w:rStyle w:val="CodeChar"/>
        </w:rPr>
        <w:t xml:space="preserve">--epochs 200</w:t>
      </w:r>
      <w:r>
        <w:t xml:space="preserve"> and comparing is a cheap check.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Feature order for models 2-5 was not verified</w:t>
      </w:r>
      <w:r>
        <w:t xml:space="preserve"> beyond the length check; for model 1, `setup_midgd.sh` printed whether the GitHub list matches its Zenodo header; confirm it said "matches".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i.org/10.64898/2026.05.29.727918" TargetMode="External"/><Relationship Id="rId4" Type="http://schemas.openxmlformats.org/officeDocument/2006/relationships/hyperlink" Target="https://doi.org/10.5281/zenodo.2188564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miDGD setup and usage notes</dc:title>
  <dc:description>Claude Docs node/71cb9a01-6e5e@5 docx-w6</dc:description>
  <cp:revision>5</cp:revision>
</cp:coreProperties>
</file>