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A6B"/>
          <w:sz w:val="32"/>
        </w:rPr>
        <w:t>Fiscal Cost of Indonesia's Data Centre Tax Incentive Regime</w:t>
      </w:r>
    </w:p>
    <w:p>
      <w:pPr>
        <w:jc w:val="center"/>
      </w:pPr>
      <w:r>
        <w:rPr>
          <w:color w:val="808080"/>
          <w:sz w:val="20"/>
        </w:rPr>
        <w:t>March 2026  |  Policy Research</w:t>
      </w:r>
    </w:p>
    <w:p/>
    <w:p>
      <w:pPr>
        <w:pStyle w:val="Heading2"/>
      </w:pPr>
      <w:r>
        <w:t>Overview</w:t>
      </w:r>
    </w:p>
    <w:p>
      <w:r>
        <w:t xml:space="preserve">Indonesia's data centre market has attracted IDR 385.8 trillion (USD 24.4 billion) in identified investment across 49 facilities (27 operational, 12 under construction, 10 planned), encompassing 3,089 MW of capacity (526 MW operational, 2,563 MW pipeline). Three fiscal instruments apply: a CIT holiday of up to 20 years (PMK-130/2020); a post-holiday investment allowance of 30\% of capex under GR No. 45/2019; and VAT plus import duty exemptions for Batam Nongsa Digital Park SEZ operators. Total cumulative fiscal cost is estimated at </w:t>
      </w:r>
      <w:r>
        <w:rPr>
          <w:b/>
        </w:rPr>
        <w:t>IDR 130.659 trillion (USD 8.27 billion)</w:t>
      </w:r>
      <w:r>
        <w:t xml:space="preserve">, equivalent to </w:t>
      </w:r>
      <w:r>
        <w:rPr>
          <w:b/>
        </w:rPr>
        <w:t>0.590 % of 2024 GDP</w:t>
      </w:r>
      <w:r>
        <w:t xml:space="preserve"> and 19.5 % of the annual government education budget.</w:t>
      </w:r>
    </w:p>
    <w:p/>
    <w:p>
      <w:pPr>
        <w:pStyle w:val="Heading2"/>
      </w:pPr>
      <w:r>
        <w:t>Table 1 — Annual and Cumulative Fiscal Cost by Instrument</w:t>
      </w:r>
    </w:p>
    <w:p>
      <w:r>
        <w:t>Taxable income proxied at 12 % ROIC. CIT forgone: 22 % for non-GMT operators (n = 28), 7 % net for GMT-subject MNEs (n = 21) after the QDMTT floor (PMK-136/2024, effective 1 Jan 2025). Post-holiday investment allowance applies to non-GMT entities only; QDMTT recaptures all saving for GMT operators. SEZ VAT and import duty are one-time costs at construction.</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B3A6B"/>
            <w:vAlign w:val="center"/>
          </w:tcPr>
          <w:p>
            <w:pPr>
              <w:jc w:val="center"/>
            </w:pPr>
            <w:r>
              <w:rPr>
                <w:b/>
                <w:color w:val="FFFFFF"/>
                <w:sz w:val="18"/>
              </w:rPr>
              <w:t>Year</w:t>
            </w:r>
          </w:p>
        </w:tc>
        <w:tc>
          <w:tcPr>
            <w:tcW w:type="dxa" w:w="1337"/>
            <w:shd w:val="clear" w:color="auto" w:fill="1B3A6B"/>
            <w:vAlign w:val="center"/>
          </w:tcPr>
          <w:p>
            <w:pPr>
              <w:jc w:val="center"/>
            </w:pPr>
            <w:r>
              <w:rPr>
                <w:b/>
                <w:color w:val="FFFFFF"/>
                <w:sz w:val="18"/>
              </w:rPr>
              <w:t>CIT Holiday</w:t>
            </w:r>
          </w:p>
        </w:tc>
        <w:tc>
          <w:tcPr>
            <w:tcW w:type="dxa" w:w="1337"/>
            <w:shd w:val="clear" w:color="auto" w:fill="1B3A6B"/>
            <w:vAlign w:val="center"/>
          </w:tcPr>
          <w:p>
            <w:pPr>
              <w:jc w:val="center"/>
            </w:pPr>
            <w:r>
              <w:rPr>
                <w:b/>
                <w:color w:val="FFFFFF"/>
                <w:sz w:val="18"/>
              </w:rPr>
              <w:t>Super Ded.</w:t>
            </w:r>
          </w:p>
        </w:tc>
        <w:tc>
          <w:tcPr>
            <w:tcW w:type="dxa" w:w="1337"/>
            <w:shd w:val="clear" w:color="auto" w:fill="1B3A6B"/>
            <w:vAlign w:val="center"/>
          </w:tcPr>
          <w:p>
            <w:pPr>
              <w:jc w:val="center"/>
            </w:pPr>
            <w:r>
              <w:rPr>
                <w:b/>
                <w:color w:val="FFFFFF"/>
                <w:sz w:val="18"/>
              </w:rPr>
              <w:t>Annual Total</w:t>
            </w:r>
          </w:p>
        </w:tc>
        <w:tc>
          <w:tcPr>
            <w:tcW w:type="dxa" w:w="1337"/>
            <w:shd w:val="clear" w:color="auto" w:fill="1B3A6B"/>
            <w:vAlign w:val="center"/>
          </w:tcPr>
          <w:p>
            <w:pPr>
              <w:jc w:val="center"/>
            </w:pPr>
            <w:r>
              <w:rPr>
                <w:b/>
                <w:color w:val="FFFFFF"/>
                <w:sz w:val="18"/>
              </w:rPr>
              <w:t>% GDP</w:t>
            </w:r>
          </w:p>
        </w:tc>
        <w:tc>
          <w:tcPr>
            <w:tcW w:type="dxa" w:w="1337"/>
            <w:shd w:val="clear" w:color="auto" w:fill="1B3A6B"/>
            <w:vAlign w:val="center"/>
          </w:tcPr>
          <w:p>
            <w:pPr>
              <w:jc w:val="center"/>
            </w:pPr>
            <w:r>
              <w:rPr>
                <w:b/>
                <w:color w:val="FFFFFF"/>
                <w:sz w:val="18"/>
              </w:rPr>
              <w:t>Cum. Total</w:t>
            </w:r>
          </w:p>
        </w:tc>
        <w:tc>
          <w:tcPr>
            <w:tcW w:type="dxa" w:w="1337"/>
            <w:shd w:val="clear" w:color="auto" w:fill="1B3A6B"/>
            <w:vAlign w:val="center"/>
          </w:tcPr>
          <w:p>
            <w:pPr>
              <w:jc w:val="center"/>
            </w:pPr>
            <w:r>
              <w:rPr>
                <w:b/>
                <w:color w:val="FFFFFF"/>
                <w:sz w:val="18"/>
              </w:rPr>
              <w:t>Cum. % GDP</w:t>
            </w:r>
          </w:p>
        </w:tc>
      </w:tr>
      <w:tr>
        <w:tc>
          <w:tcPr>
            <w:tcW w:type="dxa" w:w="1337"/>
            <w:shd w:val="clear" w:color="auto" w:fill="F2F2F2"/>
            <w:vAlign w:val="center"/>
          </w:tcPr>
          <w:p>
            <w:pPr>
              <w:jc w:val="left"/>
            </w:pPr>
            <w:r>
              <w:rPr>
                <w:b w:val="0"/>
                <w:sz w:val="18"/>
              </w:rPr>
              <w:t>2025</w:t>
            </w:r>
          </w:p>
        </w:tc>
        <w:tc>
          <w:tcPr>
            <w:tcW w:type="dxa" w:w="1337"/>
            <w:shd w:val="clear" w:color="auto" w:fill="F2F2F2"/>
            <w:vAlign w:val="center"/>
          </w:tcPr>
          <w:p>
            <w:pPr>
              <w:jc w:val="right"/>
            </w:pPr>
            <w:r>
              <w:rPr>
                <w:b w:val="0"/>
                <w:sz w:val="18"/>
              </w:rPr>
              <w:t>4.024</w:t>
            </w:r>
          </w:p>
        </w:tc>
        <w:tc>
          <w:tcPr>
            <w:tcW w:type="dxa" w:w="1337"/>
            <w:shd w:val="clear" w:color="auto" w:fill="F2F2F2"/>
            <w:vAlign w:val="center"/>
          </w:tcPr>
          <w:p>
            <w:pPr>
              <w:jc w:val="right"/>
            </w:pPr>
            <w:r>
              <w:rPr>
                <w:b w:val="0"/>
                <w:sz w:val="18"/>
              </w:rPr>
              <w:t>—</w:t>
            </w:r>
          </w:p>
        </w:tc>
        <w:tc>
          <w:tcPr>
            <w:tcW w:type="dxa" w:w="1337"/>
            <w:shd w:val="clear" w:color="auto" w:fill="F2F2F2"/>
            <w:vAlign w:val="center"/>
          </w:tcPr>
          <w:p>
            <w:pPr>
              <w:jc w:val="right"/>
            </w:pPr>
            <w:r>
              <w:rPr>
                <w:b w:val="0"/>
                <w:sz w:val="18"/>
              </w:rPr>
              <w:t>4.024</w:t>
            </w:r>
          </w:p>
        </w:tc>
        <w:tc>
          <w:tcPr>
            <w:tcW w:type="dxa" w:w="1337"/>
            <w:shd w:val="clear" w:color="auto" w:fill="F2F2F2"/>
            <w:vAlign w:val="center"/>
          </w:tcPr>
          <w:p>
            <w:pPr>
              <w:jc w:val="right"/>
            </w:pPr>
            <w:r>
              <w:rPr>
                <w:b w:val="0"/>
                <w:sz w:val="18"/>
              </w:rPr>
              <w:t>0.018%</w:t>
            </w:r>
          </w:p>
        </w:tc>
        <w:tc>
          <w:tcPr>
            <w:tcW w:type="dxa" w:w="1337"/>
            <w:shd w:val="clear" w:color="auto" w:fill="F2F2F2"/>
            <w:vAlign w:val="center"/>
          </w:tcPr>
          <w:p>
            <w:pPr>
              <w:jc w:val="right"/>
            </w:pPr>
            <w:r>
              <w:rPr>
                <w:b w:val="0"/>
                <w:sz w:val="18"/>
              </w:rPr>
              <w:t>5.001</w:t>
            </w:r>
          </w:p>
        </w:tc>
        <w:tc>
          <w:tcPr>
            <w:tcW w:type="dxa" w:w="1337"/>
            <w:shd w:val="clear" w:color="auto" w:fill="F2F2F2"/>
            <w:vAlign w:val="center"/>
          </w:tcPr>
          <w:p>
            <w:pPr>
              <w:jc w:val="right"/>
            </w:pPr>
            <w:r>
              <w:rPr>
                <w:b w:val="0"/>
                <w:sz w:val="18"/>
              </w:rPr>
              <w:t>0.023%</w:t>
            </w:r>
          </w:p>
        </w:tc>
      </w:tr>
      <w:tr>
        <w:tc>
          <w:tcPr>
            <w:tcW w:type="dxa" w:w="1337"/>
            <w:vAlign w:val="center"/>
          </w:tcPr>
          <w:p>
            <w:pPr>
              <w:jc w:val="left"/>
            </w:pPr>
            <w:r>
              <w:rPr>
                <w:b w:val="0"/>
                <w:sz w:val="18"/>
              </w:rPr>
              <w:t>2027</w:t>
            </w:r>
          </w:p>
        </w:tc>
        <w:tc>
          <w:tcPr>
            <w:tcW w:type="dxa" w:w="1337"/>
            <w:vAlign w:val="center"/>
          </w:tcPr>
          <w:p>
            <w:pPr>
              <w:jc w:val="right"/>
            </w:pPr>
            <w:r>
              <w:rPr>
                <w:b w:val="0"/>
                <w:sz w:val="18"/>
              </w:rPr>
              <w:t>7.642</w:t>
            </w:r>
          </w:p>
        </w:tc>
        <w:tc>
          <w:tcPr>
            <w:tcW w:type="dxa" w:w="1337"/>
            <w:vAlign w:val="center"/>
          </w:tcPr>
          <w:p>
            <w:pPr>
              <w:jc w:val="right"/>
            </w:pPr>
            <w:r>
              <w:rPr>
                <w:b w:val="0"/>
                <w:sz w:val="18"/>
              </w:rPr>
              <w:t>0.012</w:t>
            </w:r>
          </w:p>
        </w:tc>
        <w:tc>
          <w:tcPr>
            <w:tcW w:type="dxa" w:w="1337"/>
            <w:vAlign w:val="center"/>
          </w:tcPr>
          <w:p>
            <w:pPr>
              <w:jc w:val="right"/>
            </w:pPr>
            <w:r>
              <w:rPr>
                <w:b w:val="0"/>
                <w:sz w:val="18"/>
              </w:rPr>
              <w:t>7.654</w:t>
            </w:r>
          </w:p>
        </w:tc>
        <w:tc>
          <w:tcPr>
            <w:tcW w:type="dxa" w:w="1337"/>
            <w:vAlign w:val="center"/>
          </w:tcPr>
          <w:p>
            <w:pPr>
              <w:jc w:val="right"/>
            </w:pPr>
            <w:r>
              <w:rPr>
                <w:b w:val="0"/>
                <w:sz w:val="18"/>
              </w:rPr>
              <w:t>0.035%</w:t>
            </w:r>
          </w:p>
        </w:tc>
        <w:tc>
          <w:tcPr>
            <w:tcW w:type="dxa" w:w="1337"/>
            <w:vAlign w:val="center"/>
          </w:tcPr>
          <w:p>
            <w:pPr>
              <w:jc w:val="right"/>
            </w:pPr>
            <w:r>
              <w:rPr>
                <w:b w:val="0"/>
                <w:sz w:val="18"/>
              </w:rPr>
              <w:t>17.927</w:t>
            </w:r>
          </w:p>
        </w:tc>
        <w:tc>
          <w:tcPr>
            <w:tcW w:type="dxa" w:w="1337"/>
            <w:vAlign w:val="center"/>
          </w:tcPr>
          <w:p>
            <w:pPr>
              <w:jc w:val="right"/>
            </w:pPr>
            <w:r>
              <w:rPr>
                <w:b w:val="0"/>
                <w:sz w:val="18"/>
              </w:rPr>
              <w:t>0.081%</w:t>
            </w:r>
          </w:p>
        </w:tc>
      </w:tr>
      <w:tr>
        <w:tc>
          <w:tcPr>
            <w:tcW w:type="dxa" w:w="1337"/>
            <w:shd w:val="clear" w:color="auto" w:fill="F2F2F2"/>
            <w:vAlign w:val="center"/>
          </w:tcPr>
          <w:p>
            <w:pPr>
              <w:jc w:val="left"/>
            </w:pPr>
            <w:r>
              <w:rPr>
                <w:b w:val="0"/>
                <w:sz w:val="18"/>
              </w:rPr>
              <w:t>2030</w:t>
            </w:r>
          </w:p>
        </w:tc>
        <w:tc>
          <w:tcPr>
            <w:tcW w:type="dxa" w:w="1337"/>
            <w:shd w:val="clear" w:color="auto" w:fill="F2F2F2"/>
            <w:vAlign w:val="center"/>
          </w:tcPr>
          <w:p>
            <w:pPr>
              <w:jc w:val="right"/>
            </w:pPr>
            <w:r>
              <w:rPr>
                <w:b w:val="0"/>
                <w:sz w:val="18"/>
              </w:rPr>
              <w:t>7.366</w:t>
            </w:r>
          </w:p>
        </w:tc>
        <w:tc>
          <w:tcPr>
            <w:tcW w:type="dxa" w:w="1337"/>
            <w:shd w:val="clear" w:color="auto" w:fill="F2F2F2"/>
            <w:vAlign w:val="center"/>
          </w:tcPr>
          <w:p>
            <w:pPr>
              <w:jc w:val="right"/>
            </w:pPr>
            <w:r>
              <w:rPr>
                <w:b w:val="0"/>
                <w:sz w:val="18"/>
              </w:rPr>
              <w:t>0.090</w:t>
            </w:r>
          </w:p>
        </w:tc>
        <w:tc>
          <w:tcPr>
            <w:tcW w:type="dxa" w:w="1337"/>
            <w:shd w:val="clear" w:color="auto" w:fill="F2F2F2"/>
            <w:vAlign w:val="center"/>
          </w:tcPr>
          <w:p>
            <w:pPr>
              <w:jc w:val="right"/>
            </w:pPr>
            <w:r>
              <w:rPr>
                <w:b w:val="0"/>
                <w:sz w:val="18"/>
              </w:rPr>
              <w:t>7.456</w:t>
            </w:r>
          </w:p>
        </w:tc>
        <w:tc>
          <w:tcPr>
            <w:tcW w:type="dxa" w:w="1337"/>
            <w:shd w:val="clear" w:color="auto" w:fill="F2F2F2"/>
            <w:vAlign w:val="center"/>
          </w:tcPr>
          <w:p>
            <w:pPr>
              <w:jc w:val="right"/>
            </w:pPr>
            <w:r>
              <w:rPr>
                <w:b w:val="0"/>
                <w:sz w:val="18"/>
              </w:rPr>
              <w:t>0.034%</w:t>
            </w:r>
          </w:p>
        </w:tc>
        <w:tc>
          <w:tcPr>
            <w:tcW w:type="dxa" w:w="1337"/>
            <w:shd w:val="clear" w:color="auto" w:fill="F2F2F2"/>
            <w:vAlign w:val="center"/>
          </w:tcPr>
          <w:p>
            <w:pPr>
              <w:jc w:val="right"/>
            </w:pPr>
            <w:r>
              <w:rPr>
                <w:b w:val="0"/>
                <w:sz w:val="18"/>
              </w:rPr>
              <w:t>40.530</w:t>
            </w:r>
          </w:p>
        </w:tc>
        <w:tc>
          <w:tcPr>
            <w:tcW w:type="dxa" w:w="1337"/>
            <w:shd w:val="clear" w:color="auto" w:fill="F2F2F2"/>
            <w:vAlign w:val="center"/>
          </w:tcPr>
          <w:p>
            <w:pPr>
              <w:jc w:val="right"/>
            </w:pPr>
            <w:r>
              <w:rPr>
                <w:b w:val="0"/>
                <w:sz w:val="18"/>
              </w:rPr>
              <w:t>0.183%</w:t>
            </w:r>
          </w:p>
        </w:tc>
      </w:tr>
      <w:tr>
        <w:tc>
          <w:tcPr>
            <w:tcW w:type="dxa" w:w="1337"/>
            <w:vAlign w:val="center"/>
          </w:tcPr>
          <w:p>
            <w:pPr>
              <w:jc w:val="left"/>
            </w:pPr>
            <w:r>
              <w:rPr>
                <w:b w:val="0"/>
                <w:sz w:val="18"/>
              </w:rPr>
              <w:t>2035</w:t>
            </w:r>
          </w:p>
        </w:tc>
        <w:tc>
          <w:tcPr>
            <w:tcW w:type="dxa" w:w="1337"/>
            <w:vAlign w:val="center"/>
          </w:tcPr>
          <w:p>
            <w:pPr>
              <w:jc w:val="right"/>
            </w:pPr>
            <w:r>
              <w:rPr>
                <w:b w:val="0"/>
                <w:sz w:val="18"/>
              </w:rPr>
              <w:t>5.695</w:t>
            </w:r>
          </w:p>
        </w:tc>
        <w:tc>
          <w:tcPr>
            <w:tcW w:type="dxa" w:w="1337"/>
            <w:vAlign w:val="center"/>
          </w:tcPr>
          <w:p>
            <w:pPr>
              <w:jc w:val="right"/>
            </w:pPr>
            <w:r>
              <w:rPr>
                <w:b w:val="0"/>
                <w:sz w:val="18"/>
              </w:rPr>
              <w:t>0.395</w:t>
            </w:r>
          </w:p>
        </w:tc>
        <w:tc>
          <w:tcPr>
            <w:tcW w:type="dxa" w:w="1337"/>
            <w:vAlign w:val="center"/>
          </w:tcPr>
          <w:p>
            <w:pPr>
              <w:jc w:val="right"/>
            </w:pPr>
            <w:r>
              <w:rPr>
                <w:b w:val="0"/>
                <w:sz w:val="18"/>
              </w:rPr>
              <w:t>6.090</w:t>
            </w:r>
          </w:p>
        </w:tc>
        <w:tc>
          <w:tcPr>
            <w:tcW w:type="dxa" w:w="1337"/>
            <w:vAlign w:val="center"/>
          </w:tcPr>
          <w:p>
            <w:pPr>
              <w:jc w:val="right"/>
            </w:pPr>
            <w:r>
              <w:rPr>
                <w:b w:val="0"/>
                <w:sz w:val="18"/>
              </w:rPr>
              <w:t>0.028%</w:t>
            </w:r>
          </w:p>
        </w:tc>
        <w:tc>
          <w:tcPr>
            <w:tcW w:type="dxa" w:w="1337"/>
            <w:vAlign w:val="center"/>
          </w:tcPr>
          <w:p>
            <w:pPr>
              <w:jc w:val="right"/>
            </w:pPr>
            <w:r>
              <w:rPr>
                <w:b w:val="0"/>
                <w:sz w:val="18"/>
              </w:rPr>
              <w:t>74.311</w:t>
            </w:r>
          </w:p>
        </w:tc>
        <w:tc>
          <w:tcPr>
            <w:tcW w:type="dxa" w:w="1337"/>
            <w:vAlign w:val="center"/>
          </w:tcPr>
          <w:p>
            <w:pPr>
              <w:jc w:val="right"/>
            </w:pPr>
            <w:r>
              <w:rPr>
                <w:b w:val="0"/>
                <w:sz w:val="18"/>
              </w:rPr>
              <w:t>0.336%</w:t>
            </w:r>
          </w:p>
        </w:tc>
      </w:tr>
      <w:tr>
        <w:tc>
          <w:tcPr>
            <w:tcW w:type="dxa" w:w="1337"/>
            <w:shd w:val="clear" w:color="auto" w:fill="F2F2F2"/>
            <w:vAlign w:val="center"/>
          </w:tcPr>
          <w:p>
            <w:pPr>
              <w:jc w:val="left"/>
            </w:pPr>
            <w:r>
              <w:rPr>
                <w:b w:val="0"/>
                <w:sz w:val="18"/>
              </w:rPr>
              <w:t>2040</w:t>
            </w:r>
          </w:p>
        </w:tc>
        <w:tc>
          <w:tcPr>
            <w:tcW w:type="dxa" w:w="1337"/>
            <w:shd w:val="clear" w:color="auto" w:fill="F2F2F2"/>
            <w:vAlign w:val="center"/>
          </w:tcPr>
          <w:p>
            <w:pPr>
              <w:jc w:val="right"/>
            </w:pPr>
            <w:r>
              <w:rPr>
                <w:b w:val="0"/>
                <w:sz w:val="18"/>
              </w:rPr>
              <w:t>4.186</w:t>
            </w:r>
          </w:p>
        </w:tc>
        <w:tc>
          <w:tcPr>
            <w:tcW w:type="dxa" w:w="1337"/>
            <w:shd w:val="clear" w:color="auto" w:fill="F2F2F2"/>
            <w:vAlign w:val="center"/>
          </w:tcPr>
          <w:p>
            <w:pPr>
              <w:jc w:val="right"/>
            </w:pPr>
            <w:r>
              <w:rPr>
                <w:b w:val="0"/>
                <w:sz w:val="18"/>
              </w:rPr>
              <w:t>0.483</w:t>
            </w:r>
          </w:p>
        </w:tc>
        <w:tc>
          <w:tcPr>
            <w:tcW w:type="dxa" w:w="1337"/>
            <w:shd w:val="clear" w:color="auto" w:fill="F2F2F2"/>
            <w:vAlign w:val="center"/>
          </w:tcPr>
          <w:p>
            <w:pPr>
              <w:jc w:val="right"/>
            </w:pPr>
            <w:r>
              <w:rPr>
                <w:b w:val="0"/>
                <w:sz w:val="18"/>
              </w:rPr>
              <w:t>4.669</w:t>
            </w:r>
          </w:p>
        </w:tc>
        <w:tc>
          <w:tcPr>
            <w:tcW w:type="dxa" w:w="1337"/>
            <w:shd w:val="clear" w:color="auto" w:fill="F2F2F2"/>
            <w:vAlign w:val="center"/>
          </w:tcPr>
          <w:p>
            <w:pPr>
              <w:jc w:val="right"/>
            </w:pPr>
            <w:r>
              <w:rPr>
                <w:b w:val="0"/>
                <w:sz w:val="18"/>
              </w:rPr>
              <w:t>0.021%</w:t>
            </w:r>
          </w:p>
        </w:tc>
        <w:tc>
          <w:tcPr>
            <w:tcW w:type="dxa" w:w="1337"/>
            <w:shd w:val="clear" w:color="auto" w:fill="F2F2F2"/>
            <w:vAlign w:val="center"/>
          </w:tcPr>
          <w:p>
            <w:pPr>
              <w:jc w:val="right"/>
            </w:pPr>
            <w:r>
              <w:rPr>
                <w:b w:val="0"/>
                <w:sz w:val="18"/>
              </w:rPr>
              <w:t>99.899</w:t>
            </w:r>
          </w:p>
        </w:tc>
        <w:tc>
          <w:tcPr>
            <w:tcW w:type="dxa" w:w="1337"/>
            <w:shd w:val="clear" w:color="auto" w:fill="F2F2F2"/>
            <w:vAlign w:val="center"/>
          </w:tcPr>
          <w:p>
            <w:pPr>
              <w:jc w:val="right"/>
            </w:pPr>
            <w:r>
              <w:rPr>
                <w:b w:val="0"/>
                <w:sz w:val="18"/>
              </w:rPr>
              <w:t>0.451%</w:t>
            </w:r>
          </w:p>
        </w:tc>
      </w:tr>
      <w:tr>
        <w:tc>
          <w:tcPr>
            <w:tcW w:type="dxa" w:w="1337"/>
            <w:vAlign w:val="center"/>
          </w:tcPr>
          <w:p>
            <w:pPr>
              <w:jc w:val="left"/>
            </w:pPr>
            <w:r>
              <w:rPr>
                <w:b w:val="0"/>
                <w:sz w:val="18"/>
              </w:rPr>
              <w:t>2045</w:t>
            </w:r>
          </w:p>
        </w:tc>
        <w:tc>
          <w:tcPr>
            <w:tcW w:type="dxa" w:w="1337"/>
            <w:vAlign w:val="center"/>
          </w:tcPr>
          <w:p>
            <w:pPr>
              <w:jc w:val="right"/>
            </w:pPr>
            <w:r>
              <w:rPr>
                <w:b w:val="0"/>
                <w:sz w:val="18"/>
              </w:rPr>
              <w:t>2.345</w:t>
            </w:r>
          </w:p>
        </w:tc>
        <w:tc>
          <w:tcPr>
            <w:tcW w:type="dxa" w:w="1337"/>
            <w:vAlign w:val="center"/>
          </w:tcPr>
          <w:p>
            <w:pPr>
              <w:jc w:val="right"/>
            </w:pPr>
            <w:r>
              <w:rPr>
                <w:b w:val="0"/>
                <w:sz w:val="18"/>
              </w:rPr>
              <w:t>0.384</w:t>
            </w:r>
          </w:p>
        </w:tc>
        <w:tc>
          <w:tcPr>
            <w:tcW w:type="dxa" w:w="1337"/>
            <w:vAlign w:val="center"/>
          </w:tcPr>
          <w:p>
            <w:pPr>
              <w:jc w:val="right"/>
            </w:pPr>
            <w:r>
              <w:rPr>
                <w:b w:val="0"/>
                <w:sz w:val="18"/>
              </w:rPr>
              <w:t>2.729</w:t>
            </w:r>
          </w:p>
        </w:tc>
        <w:tc>
          <w:tcPr>
            <w:tcW w:type="dxa" w:w="1337"/>
            <w:vAlign w:val="center"/>
          </w:tcPr>
          <w:p>
            <w:pPr>
              <w:jc w:val="right"/>
            </w:pPr>
            <w:r>
              <w:rPr>
                <w:b w:val="0"/>
                <w:sz w:val="18"/>
              </w:rPr>
              <w:t>0.012%</w:t>
            </w:r>
          </w:p>
        </w:tc>
        <w:tc>
          <w:tcPr>
            <w:tcW w:type="dxa" w:w="1337"/>
            <w:vAlign w:val="center"/>
          </w:tcPr>
          <w:p>
            <w:pPr>
              <w:jc w:val="right"/>
            </w:pPr>
            <w:r>
              <w:rPr>
                <w:b w:val="0"/>
                <w:sz w:val="18"/>
              </w:rPr>
              <w:t>119.782</w:t>
            </w:r>
          </w:p>
        </w:tc>
        <w:tc>
          <w:tcPr>
            <w:tcW w:type="dxa" w:w="1337"/>
            <w:vAlign w:val="center"/>
          </w:tcPr>
          <w:p>
            <w:pPr>
              <w:jc w:val="right"/>
            </w:pPr>
            <w:r>
              <w:rPr>
                <w:b w:val="0"/>
                <w:sz w:val="18"/>
              </w:rPr>
              <w:t>0.541%</w:t>
            </w:r>
          </w:p>
        </w:tc>
      </w:tr>
      <w:tr>
        <w:tc>
          <w:tcPr>
            <w:tcW w:type="dxa" w:w="1337"/>
            <w:shd w:val="clear" w:color="auto" w:fill="1B3A6B"/>
            <w:vAlign w:val="center"/>
          </w:tcPr>
          <w:p>
            <w:pPr>
              <w:jc w:val="left"/>
            </w:pPr>
            <w:r>
              <w:rPr>
                <w:b/>
                <w:color w:val="FFFFFF"/>
                <w:sz w:val="18"/>
              </w:rPr>
              <w:t>Cumulative (all periods)</w:t>
            </w:r>
          </w:p>
        </w:tc>
        <w:tc>
          <w:tcPr>
            <w:tcW w:type="dxa" w:w="1337"/>
            <w:shd w:val="clear" w:color="auto" w:fill="1B3A6B"/>
            <w:vAlign w:val="center"/>
          </w:tcPr>
          <w:p>
            <w:pPr>
              <w:jc w:val="right"/>
            </w:pPr>
            <w:r>
              <w:rPr>
                <w:b/>
                <w:color w:val="FFFFFF"/>
                <w:sz w:val="18"/>
              </w:rPr>
              <w:t>118.705</w:t>
            </w:r>
          </w:p>
        </w:tc>
        <w:tc>
          <w:tcPr>
            <w:tcW w:type="dxa" w:w="1337"/>
            <w:shd w:val="clear" w:color="auto" w:fill="1B3A6B"/>
            <w:vAlign w:val="center"/>
          </w:tcPr>
          <w:p>
            <w:pPr>
              <w:jc w:val="right"/>
            </w:pPr>
            <w:r>
              <w:rPr>
                <w:b/>
                <w:color w:val="FFFFFF"/>
                <w:sz w:val="18"/>
              </w:rPr>
              <w:t>10.977</w:t>
            </w:r>
          </w:p>
        </w:tc>
        <w:tc>
          <w:tcPr>
            <w:tcW w:type="dxa" w:w="1337"/>
            <w:shd w:val="clear" w:color="auto" w:fill="1B3A6B"/>
            <w:vAlign w:val="center"/>
          </w:tcPr>
          <w:p>
            <w:pPr>
              <w:jc w:val="right"/>
            </w:pPr>
            <w:r>
              <w:rPr>
                <w:b/>
                <w:color w:val="FFFFFF"/>
                <w:sz w:val="18"/>
              </w:rPr>
              <w:t>—</w:t>
            </w:r>
          </w:p>
        </w:tc>
        <w:tc>
          <w:tcPr>
            <w:tcW w:type="dxa" w:w="1337"/>
            <w:shd w:val="clear" w:color="auto" w:fill="1B3A6B"/>
            <w:vAlign w:val="center"/>
          </w:tcPr>
          <w:p>
            <w:pPr>
              <w:jc w:val="right"/>
            </w:pPr>
            <w:r>
              <w:rPr>
                <w:b/>
                <w:color w:val="FFFFFF"/>
                <w:sz w:val="18"/>
              </w:rPr>
              <w:t>—</w:t>
            </w:r>
          </w:p>
        </w:tc>
        <w:tc>
          <w:tcPr>
            <w:tcW w:type="dxa" w:w="1337"/>
            <w:shd w:val="clear" w:color="auto" w:fill="1B3A6B"/>
            <w:vAlign w:val="center"/>
          </w:tcPr>
          <w:p>
            <w:pPr>
              <w:jc w:val="right"/>
            </w:pPr>
            <w:r>
              <w:rPr>
                <w:b/>
                <w:color w:val="FFFFFF"/>
                <w:sz w:val="18"/>
              </w:rPr>
              <w:t>130.659</w:t>
            </w:r>
          </w:p>
        </w:tc>
        <w:tc>
          <w:tcPr>
            <w:tcW w:type="dxa" w:w="1337"/>
            <w:shd w:val="clear" w:color="auto" w:fill="1B3A6B"/>
            <w:vAlign w:val="center"/>
          </w:tcPr>
          <w:p>
            <w:pPr>
              <w:jc w:val="right"/>
            </w:pPr>
            <w:r>
              <w:rPr>
                <w:b/>
                <w:color w:val="FFFFFF"/>
                <w:sz w:val="18"/>
              </w:rPr>
              <w:t>0.590%</w:t>
            </w:r>
          </w:p>
        </w:tc>
      </w:tr>
    </w:tbl>
    <w:p>
      <w:r>
        <w:rPr>
          <w:color w:val="606060"/>
          <w:sz w:val="16"/>
        </w:rPr>
        <w:t>a  Post-holiday 5-year window: 2 years at 11% CIT + 3 years at 22% CIT. Zero net cost for GMT entities (QDMTT recapture). Zero during holiday (double-dipping prohibited, PMK-153/2020 Art. 7).</w:t>
        <w:br/>
        <w:t>b  Includes SEZ VAT (IDR 0.796T) and import duty (IDR 0.181T), one-time at construction. GDP: BPS 2024. Education: APBN 2024 (IDR 670T). Rate: IDR 15,800/USD.</w:t>
      </w:r>
    </w:p>
    <w:p/>
    <w:p>
      <w:pPr>
        <w:pStyle w:val="Heading2"/>
      </w:pPr>
      <w:r>
        <w:t>Table 2 — Policy Scenarios</w:t>
      </w:r>
    </w:p>
    <w:p>
      <w:r>
        <w:rPr>
          <w:b/>
        </w:rPr>
        <w:t>Scenario A</w:t>
      </w:r>
      <w:r>
        <w:t xml:space="preserve">: expansion to 2,000 MW operational by 2030 (+1,474 MW from current 526 MW), requiring IDR 163.6T at IDR 111B/MW; GMT/non-GMT split 43 %/57 %; 10-year holiday for new entrants; no new SEZ concessions. </w:t>
      </w:r>
      <w:r>
        <w:rPr>
          <w:b/>
        </w:rPr>
        <w:t>Scenario B</w:t>
      </w:r>
      <w:r>
        <w:t xml:space="preserve">: expansion to 3,000 MW operational by 2030 (+2,474 MW from current 526 MW), requiring IDR 274.6T at IDR 111B/MW; same entrant mix and holiday structure as Scenario A. </w:t>
      </w:r>
      <w:r>
        <w:rPr>
          <w:b/>
        </w:rPr>
        <w:t>VAT/Import Duty</w:t>
      </w:r>
      <w:r>
        <w:t xml:space="preserve"> (Combined scenarios only): universal VAT exemption (11 %) + import duty waiver (2.5 %) extended to all operators on the equipment share (35 % of investment), layered on top of Scenario A (IDR 239.7T base) or Scenario B (IDR 350.7T base).</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1B3A6B"/>
            <w:vAlign w:val="center"/>
          </w:tcPr>
          <w:p>
            <w:pPr>
              <w:jc w:val="center"/>
            </w:pPr>
            <w:r>
              <w:rPr>
                <w:b/>
                <w:color w:val="FFFFFF"/>
                <w:sz w:val="18"/>
              </w:rPr>
              <w:t>Scenario</w:t>
            </w:r>
          </w:p>
        </w:tc>
        <w:tc>
          <w:tcPr>
            <w:tcW w:type="dxa" w:w="1170"/>
            <w:shd w:val="clear" w:color="auto" w:fill="1B3A6B"/>
            <w:vAlign w:val="center"/>
          </w:tcPr>
          <w:p>
            <w:pPr>
              <w:jc w:val="center"/>
            </w:pPr>
            <w:r>
              <w:rPr>
                <w:b/>
                <w:color w:val="FFFFFF"/>
                <w:sz w:val="18"/>
              </w:rPr>
              <w:t>MW</w:t>
            </w:r>
          </w:p>
        </w:tc>
        <w:tc>
          <w:tcPr>
            <w:tcW w:type="dxa" w:w="1170"/>
            <w:shd w:val="clear" w:color="auto" w:fill="1B3A6B"/>
            <w:vAlign w:val="center"/>
          </w:tcPr>
          <w:p>
            <w:pPr>
              <w:jc w:val="center"/>
            </w:pPr>
            <w:r>
              <w:rPr>
                <w:b/>
                <w:color w:val="FFFFFF"/>
                <w:sz w:val="18"/>
              </w:rPr>
              <w:t>Inv. (IDR T)</w:t>
            </w:r>
          </w:p>
        </w:tc>
        <w:tc>
          <w:tcPr>
            <w:tcW w:type="dxa" w:w="1170"/>
            <w:shd w:val="clear" w:color="auto" w:fill="1B3A6B"/>
            <w:vAlign w:val="center"/>
          </w:tcPr>
          <w:p>
            <w:pPr>
              <w:jc w:val="center"/>
            </w:pPr>
            <w:r>
              <w:rPr>
                <w:b/>
                <w:color w:val="FFFFFF"/>
                <w:sz w:val="18"/>
              </w:rPr>
              <w:t>CIT (IDR T)</w:t>
            </w:r>
          </w:p>
        </w:tc>
        <w:tc>
          <w:tcPr>
            <w:tcW w:type="dxa" w:w="1170"/>
            <w:shd w:val="clear" w:color="auto" w:fill="1B3A6B"/>
            <w:vAlign w:val="center"/>
          </w:tcPr>
          <w:p>
            <w:pPr>
              <w:jc w:val="center"/>
            </w:pPr>
            <w:r>
              <w:rPr>
                <w:b/>
                <w:color w:val="FFFFFF"/>
                <w:sz w:val="18"/>
              </w:rPr>
              <w:t>SD (IDR T)</w:t>
            </w:r>
          </w:p>
        </w:tc>
        <w:tc>
          <w:tcPr>
            <w:tcW w:type="dxa" w:w="1170"/>
            <w:shd w:val="clear" w:color="auto" w:fill="1B3A6B"/>
            <w:vAlign w:val="center"/>
          </w:tcPr>
          <w:p>
            <w:pPr>
              <w:jc w:val="center"/>
            </w:pPr>
            <w:r>
              <w:rPr>
                <w:b/>
                <w:color w:val="FFFFFF"/>
                <w:sz w:val="18"/>
              </w:rPr>
              <w:t>VAT+Duty (IDR T)</w:t>
            </w:r>
          </w:p>
        </w:tc>
        <w:tc>
          <w:tcPr>
            <w:tcW w:type="dxa" w:w="1170"/>
            <w:shd w:val="clear" w:color="auto" w:fill="1B3A6B"/>
            <w:vAlign w:val="center"/>
          </w:tcPr>
          <w:p>
            <w:pPr>
              <w:jc w:val="center"/>
            </w:pPr>
            <w:r>
              <w:rPr>
                <w:b/>
                <w:color w:val="FFFFFF"/>
                <w:sz w:val="18"/>
              </w:rPr>
              <w:t>Total (IDR T)</w:t>
            </w:r>
          </w:p>
        </w:tc>
        <w:tc>
          <w:tcPr>
            <w:tcW w:type="dxa" w:w="1170"/>
            <w:shd w:val="clear" w:color="auto" w:fill="1B3A6B"/>
            <w:vAlign w:val="center"/>
          </w:tcPr>
          <w:p>
            <w:pPr>
              <w:jc w:val="center"/>
            </w:pPr>
            <w:r>
              <w:rPr>
                <w:b/>
                <w:color w:val="FFFFFF"/>
                <w:sz w:val="18"/>
              </w:rPr>
              <w:t>Ann. % GDP</w:t>
            </w:r>
          </w:p>
        </w:tc>
      </w:tr>
      <w:tr>
        <w:tc>
          <w:tcPr>
            <w:tcW w:type="dxa" w:w="1170"/>
            <w:shd w:val="clear" w:color="auto" w:fill="F2F2F2"/>
            <w:vAlign w:val="center"/>
          </w:tcPr>
          <w:p>
            <w:pPr>
              <w:jc w:val="left"/>
            </w:pPr>
            <w:r>
              <w:rPr>
                <w:b w:val="0"/>
                <w:sz w:val="18"/>
              </w:rPr>
              <w:t>Baseline (526 MW op.)</w:t>
            </w:r>
          </w:p>
        </w:tc>
        <w:tc>
          <w:tcPr>
            <w:tcW w:type="dxa" w:w="1170"/>
            <w:shd w:val="clear" w:color="auto" w:fill="F2F2F2"/>
            <w:vAlign w:val="center"/>
          </w:tcPr>
          <w:p>
            <w:pPr>
              <w:jc w:val="right"/>
            </w:pPr>
            <w:r>
              <w:rPr>
                <w:b w:val="0"/>
                <w:sz w:val="18"/>
              </w:rPr>
              <w:t>526</w:t>
            </w:r>
          </w:p>
        </w:tc>
        <w:tc>
          <w:tcPr>
            <w:tcW w:type="dxa" w:w="1170"/>
            <w:shd w:val="clear" w:color="auto" w:fill="F2F2F2"/>
            <w:vAlign w:val="center"/>
          </w:tcPr>
          <w:p>
            <w:pPr>
              <w:jc w:val="right"/>
            </w:pPr>
            <w:r>
              <w:rPr>
                <w:b w:val="0"/>
                <w:sz w:val="18"/>
              </w:rPr>
              <w:t>76.1</w:t>
            </w:r>
          </w:p>
        </w:tc>
        <w:tc>
          <w:tcPr>
            <w:tcW w:type="dxa" w:w="1170"/>
            <w:shd w:val="clear" w:color="auto" w:fill="F2F2F2"/>
            <w:vAlign w:val="center"/>
          </w:tcPr>
          <w:p>
            <w:pPr>
              <w:jc w:val="right"/>
            </w:pPr>
            <w:r>
              <w:rPr>
                <w:b w:val="0"/>
                <w:sz w:val="18"/>
              </w:rPr>
              <w:t>15.7</w:t>
            </w:r>
          </w:p>
        </w:tc>
        <w:tc>
          <w:tcPr>
            <w:tcW w:type="dxa" w:w="1170"/>
            <w:shd w:val="clear" w:color="auto" w:fill="F2F2F2"/>
            <w:vAlign w:val="center"/>
          </w:tcPr>
          <w:p>
            <w:pPr>
              <w:jc w:val="right"/>
            </w:pPr>
            <w:r>
              <w:rPr>
                <w:b w:val="0"/>
                <w:sz w:val="18"/>
              </w:rPr>
              <w:t>2.2</w:t>
            </w:r>
          </w:p>
        </w:tc>
        <w:tc>
          <w:tcPr>
            <w:tcW w:type="dxa" w:w="1170"/>
            <w:shd w:val="clear" w:color="auto" w:fill="F2F2F2"/>
            <w:vAlign w:val="center"/>
          </w:tcPr>
          <w:p>
            <w:pPr>
              <w:jc w:val="right"/>
            </w:pPr>
            <w:r>
              <w:rPr>
                <w:b w:val="0"/>
                <w:sz w:val="18"/>
              </w:rPr>
              <w:t>0.2</w:t>
            </w:r>
          </w:p>
        </w:tc>
        <w:tc>
          <w:tcPr>
            <w:tcW w:type="dxa" w:w="1170"/>
            <w:shd w:val="clear" w:color="auto" w:fill="F2F2F2"/>
            <w:vAlign w:val="center"/>
          </w:tcPr>
          <w:p>
            <w:pPr>
              <w:jc w:val="right"/>
            </w:pPr>
            <w:r>
              <w:rPr>
                <w:b w:val="0"/>
                <w:sz w:val="18"/>
              </w:rPr>
              <w:t>18.1</w:t>
            </w:r>
          </w:p>
        </w:tc>
        <w:tc>
          <w:tcPr>
            <w:tcW w:type="dxa" w:w="1170"/>
            <w:shd w:val="clear" w:color="auto" w:fill="F2F2F2"/>
            <w:vAlign w:val="center"/>
          </w:tcPr>
          <w:p>
            <w:pPr>
              <w:jc w:val="right"/>
            </w:pPr>
            <w:r>
              <w:rPr>
                <w:b w:val="0"/>
                <w:sz w:val="18"/>
              </w:rPr>
              <w:t>0.007%</w:t>
            </w:r>
          </w:p>
        </w:tc>
      </w:tr>
      <w:tr>
        <w:tc>
          <w:tcPr>
            <w:tcW w:type="dxa" w:w="1170"/>
            <w:vAlign w:val="center"/>
          </w:tcPr>
          <w:p>
            <w:pPr>
              <w:jc w:val="left"/>
            </w:pPr>
            <w:r>
              <w:rPr>
                <w:b w:val="0"/>
                <w:sz w:val="18"/>
              </w:rPr>
              <w:t>A: incremental (+1,474 MW)</w:t>
            </w:r>
          </w:p>
        </w:tc>
        <w:tc>
          <w:tcPr>
            <w:tcW w:type="dxa" w:w="1170"/>
            <w:vAlign w:val="center"/>
          </w:tcPr>
          <w:p>
            <w:pPr>
              <w:jc w:val="right"/>
            </w:pPr>
            <w:r>
              <w:rPr>
                <w:b w:val="0"/>
                <w:sz w:val="18"/>
              </w:rPr>
              <w:t>+1474</w:t>
            </w:r>
          </w:p>
        </w:tc>
        <w:tc>
          <w:tcPr>
            <w:tcW w:type="dxa" w:w="1170"/>
            <w:vAlign w:val="center"/>
          </w:tcPr>
          <w:p>
            <w:pPr>
              <w:jc w:val="right"/>
            </w:pPr>
            <w:r>
              <w:rPr>
                <w:b w:val="0"/>
                <w:sz w:val="18"/>
              </w:rPr>
              <w:t>+163.6</w:t>
            </w:r>
          </w:p>
        </w:tc>
        <w:tc>
          <w:tcPr>
            <w:tcW w:type="dxa" w:w="1170"/>
            <w:vAlign w:val="center"/>
          </w:tcPr>
          <w:p>
            <w:pPr>
              <w:jc w:val="right"/>
            </w:pPr>
            <w:r>
              <w:rPr>
                <w:b w:val="0"/>
                <w:sz w:val="18"/>
              </w:rPr>
              <w:t>+30.5</w:t>
            </w:r>
          </w:p>
        </w:tc>
        <w:tc>
          <w:tcPr>
            <w:tcW w:type="dxa" w:w="1170"/>
            <w:vAlign w:val="center"/>
          </w:tcPr>
          <w:p>
            <w:pPr>
              <w:jc w:val="right"/>
            </w:pPr>
            <w:r>
              <w:rPr>
                <w:b w:val="0"/>
                <w:sz w:val="18"/>
              </w:rPr>
              <w:t>+4.7</w:t>
            </w:r>
          </w:p>
        </w:tc>
        <w:tc>
          <w:tcPr>
            <w:tcW w:type="dxa" w:w="1170"/>
            <w:vAlign w:val="center"/>
          </w:tcPr>
          <w:p>
            <w:pPr>
              <w:jc w:val="right"/>
            </w:pPr>
            <w:r>
              <w:rPr>
                <w:b w:val="0"/>
                <w:sz w:val="18"/>
              </w:rPr>
              <w:t>—</w:t>
            </w:r>
          </w:p>
        </w:tc>
        <w:tc>
          <w:tcPr>
            <w:tcW w:type="dxa" w:w="1170"/>
            <w:vAlign w:val="center"/>
          </w:tcPr>
          <w:p>
            <w:pPr>
              <w:jc w:val="right"/>
            </w:pPr>
            <w:r>
              <w:rPr>
                <w:b w:val="0"/>
                <w:sz w:val="18"/>
              </w:rPr>
              <w:t>+35.2</w:t>
            </w:r>
          </w:p>
        </w:tc>
        <w:tc>
          <w:tcPr>
            <w:tcW w:type="dxa" w:w="1170"/>
            <w:vAlign w:val="center"/>
          </w:tcPr>
          <w:p>
            <w:pPr>
              <w:jc w:val="right"/>
            </w:pPr>
            <w:r>
              <w:rPr>
                <w:b w:val="0"/>
                <w:sz w:val="18"/>
              </w:rPr>
              <w:t>+0.014%</w:t>
            </w:r>
          </w:p>
        </w:tc>
      </w:tr>
      <w:tr>
        <w:tc>
          <w:tcPr>
            <w:tcW w:type="dxa" w:w="1170"/>
            <w:shd w:val="clear" w:color="auto" w:fill="CCE0FF"/>
            <w:vAlign w:val="center"/>
          </w:tcPr>
          <w:p>
            <w:pPr>
              <w:jc w:val="left"/>
            </w:pPr>
            <w:r>
              <w:rPr>
                <w:b/>
                <w:sz w:val="18"/>
              </w:rPr>
              <w:t>Scenario A total (2,000 MW)</w:t>
            </w:r>
          </w:p>
        </w:tc>
        <w:tc>
          <w:tcPr>
            <w:tcW w:type="dxa" w:w="1170"/>
            <w:shd w:val="clear" w:color="auto" w:fill="CCE0FF"/>
            <w:vAlign w:val="center"/>
          </w:tcPr>
          <w:p>
            <w:pPr>
              <w:jc w:val="right"/>
            </w:pPr>
            <w:r>
              <w:rPr>
                <w:b/>
                <w:sz w:val="18"/>
              </w:rPr>
              <w:t>2000</w:t>
            </w:r>
          </w:p>
        </w:tc>
        <w:tc>
          <w:tcPr>
            <w:tcW w:type="dxa" w:w="1170"/>
            <w:shd w:val="clear" w:color="auto" w:fill="CCE0FF"/>
            <w:vAlign w:val="center"/>
          </w:tcPr>
          <w:p>
            <w:pPr>
              <w:jc w:val="right"/>
            </w:pPr>
            <w:r>
              <w:rPr>
                <w:b/>
                <w:sz w:val="18"/>
              </w:rPr>
              <w:t>239.7</w:t>
            </w:r>
          </w:p>
        </w:tc>
        <w:tc>
          <w:tcPr>
            <w:tcW w:type="dxa" w:w="1170"/>
            <w:shd w:val="clear" w:color="auto" w:fill="CCE0FF"/>
            <w:vAlign w:val="center"/>
          </w:tcPr>
          <w:p>
            <w:pPr>
              <w:jc w:val="right"/>
            </w:pPr>
            <w:r>
              <w:rPr>
                <w:b/>
                <w:sz w:val="18"/>
              </w:rPr>
              <w:t>46.2</w:t>
            </w:r>
          </w:p>
        </w:tc>
        <w:tc>
          <w:tcPr>
            <w:tcW w:type="dxa" w:w="1170"/>
            <w:shd w:val="clear" w:color="auto" w:fill="CCE0FF"/>
            <w:vAlign w:val="center"/>
          </w:tcPr>
          <w:p>
            <w:pPr>
              <w:jc w:val="right"/>
            </w:pPr>
            <w:r>
              <w:rPr>
                <w:b/>
                <w:sz w:val="18"/>
              </w:rPr>
              <w:t>6.8</w:t>
            </w:r>
          </w:p>
        </w:tc>
        <w:tc>
          <w:tcPr>
            <w:tcW w:type="dxa" w:w="1170"/>
            <w:shd w:val="clear" w:color="auto" w:fill="CCE0FF"/>
            <w:vAlign w:val="center"/>
          </w:tcPr>
          <w:p>
            <w:pPr>
              <w:jc w:val="right"/>
            </w:pPr>
            <w:r>
              <w:rPr>
                <w:b/>
                <w:sz w:val="18"/>
              </w:rPr>
              <w:t>0.2</w:t>
            </w:r>
          </w:p>
        </w:tc>
        <w:tc>
          <w:tcPr>
            <w:tcW w:type="dxa" w:w="1170"/>
            <w:shd w:val="clear" w:color="auto" w:fill="CCE0FF"/>
            <w:vAlign w:val="center"/>
          </w:tcPr>
          <w:p>
            <w:pPr>
              <w:jc w:val="right"/>
            </w:pPr>
            <w:r>
              <w:rPr>
                <w:b/>
                <w:sz w:val="18"/>
              </w:rPr>
              <w:t>53.2</w:t>
            </w:r>
          </w:p>
        </w:tc>
        <w:tc>
          <w:tcPr>
            <w:tcW w:type="dxa" w:w="1170"/>
            <w:shd w:val="clear" w:color="auto" w:fill="CCE0FF"/>
            <w:vAlign w:val="center"/>
          </w:tcPr>
          <w:p>
            <w:pPr>
              <w:jc w:val="right"/>
            </w:pPr>
            <w:r>
              <w:rPr>
                <w:b/>
                <w:sz w:val="18"/>
              </w:rPr>
              <w:t>0.021%</w:t>
            </w:r>
          </w:p>
        </w:tc>
      </w:tr>
      <w:tr>
        <w:tc>
          <w:tcPr>
            <w:tcW w:type="dxa" w:w="1170"/>
            <w:vAlign w:val="center"/>
          </w:tcPr>
          <w:p>
            <w:pPr>
              <w:jc w:val="left"/>
            </w:pPr>
            <w:r>
              <w:rPr>
                <w:b w:val="0"/>
                <w:sz w:val="18"/>
              </w:rPr>
              <w:t>B: incremental (+2,474 MW)</w:t>
            </w:r>
          </w:p>
        </w:tc>
        <w:tc>
          <w:tcPr>
            <w:tcW w:type="dxa" w:w="1170"/>
            <w:vAlign w:val="center"/>
          </w:tcPr>
          <w:p>
            <w:pPr>
              <w:jc w:val="right"/>
            </w:pPr>
            <w:r>
              <w:rPr>
                <w:b w:val="0"/>
                <w:sz w:val="18"/>
              </w:rPr>
              <w:t>+2474</w:t>
            </w:r>
          </w:p>
        </w:tc>
        <w:tc>
          <w:tcPr>
            <w:tcW w:type="dxa" w:w="1170"/>
            <w:vAlign w:val="center"/>
          </w:tcPr>
          <w:p>
            <w:pPr>
              <w:jc w:val="right"/>
            </w:pPr>
            <w:r>
              <w:rPr>
                <w:b w:val="0"/>
                <w:sz w:val="18"/>
              </w:rPr>
              <w:t>+274.6</w:t>
            </w:r>
          </w:p>
        </w:tc>
        <w:tc>
          <w:tcPr>
            <w:tcW w:type="dxa" w:w="1170"/>
            <w:vAlign w:val="center"/>
          </w:tcPr>
          <w:p>
            <w:pPr>
              <w:jc w:val="right"/>
            </w:pPr>
            <w:r>
              <w:rPr>
                <w:b w:val="0"/>
                <w:sz w:val="18"/>
              </w:rPr>
              <w:t>+51.2</w:t>
            </w:r>
          </w:p>
        </w:tc>
        <w:tc>
          <w:tcPr>
            <w:tcW w:type="dxa" w:w="1170"/>
            <w:vAlign w:val="center"/>
          </w:tcPr>
          <w:p>
            <w:pPr>
              <w:jc w:val="right"/>
            </w:pPr>
            <w:r>
              <w:rPr>
                <w:b w:val="0"/>
                <w:sz w:val="18"/>
              </w:rPr>
              <w:t>+7.8</w:t>
            </w:r>
          </w:p>
        </w:tc>
        <w:tc>
          <w:tcPr>
            <w:tcW w:type="dxa" w:w="1170"/>
            <w:vAlign w:val="center"/>
          </w:tcPr>
          <w:p>
            <w:pPr>
              <w:jc w:val="right"/>
            </w:pPr>
            <w:r>
              <w:rPr>
                <w:b w:val="0"/>
                <w:sz w:val="18"/>
              </w:rPr>
              <w:t>—</w:t>
            </w:r>
          </w:p>
        </w:tc>
        <w:tc>
          <w:tcPr>
            <w:tcW w:type="dxa" w:w="1170"/>
            <w:vAlign w:val="center"/>
          </w:tcPr>
          <w:p>
            <w:pPr>
              <w:jc w:val="right"/>
            </w:pPr>
            <w:r>
              <w:rPr>
                <w:b w:val="0"/>
                <w:sz w:val="18"/>
              </w:rPr>
              <w:t>+59.1</w:t>
            </w:r>
          </w:p>
        </w:tc>
        <w:tc>
          <w:tcPr>
            <w:tcW w:type="dxa" w:w="1170"/>
            <w:vAlign w:val="center"/>
          </w:tcPr>
          <w:p>
            <w:pPr>
              <w:jc w:val="right"/>
            </w:pPr>
            <w:r>
              <w:rPr>
                <w:b w:val="0"/>
                <w:sz w:val="18"/>
              </w:rPr>
              <w:t>+0.023%</w:t>
            </w:r>
          </w:p>
        </w:tc>
      </w:tr>
      <w:tr>
        <w:tc>
          <w:tcPr>
            <w:tcW w:type="dxa" w:w="1170"/>
            <w:shd w:val="clear" w:color="auto" w:fill="CCE0FF"/>
            <w:vAlign w:val="center"/>
          </w:tcPr>
          <w:p>
            <w:pPr>
              <w:jc w:val="left"/>
            </w:pPr>
            <w:r>
              <w:rPr>
                <w:b/>
                <w:sz w:val="18"/>
              </w:rPr>
              <w:t>Scenario B total (3,000 MW)</w:t>
            </w:r>
          </w:p>
        </w:tc>
        <w:tc>
          <w:tcPr>
            <w:tcW w:type="dxa" w:w="1170"/>
            <w:shd w:val="clear" w:color="auto" w:fill="CCE0FF"/>
            <w:vAlign w:val="center"/>
          </w:tcPr>
          <w:p>
            <w:pPr>
              <w:jc w:val="right"/>
            </w:pPr>
            <w:r>
              <w:rPr>
                <w:b/>
                <w:sz w:val="18"/>
              </w:rPr>
              <w:t>3000</w:t>
            </w:r>
          </w:p>
        </w:tc>
        <w:tc>
          <w:tcPr>
            <w:tcW w:type="dxa" w:w="1170"/>
            <w:shd w:val="clear" w:color="auto" w:fill="CCE0FF"/>
            <w:vAlign w:val="center"/>
          </w:tcPr>
          <w:p>
            <w:pPr>
              <w:jc w:val="right"/>
            </w:pPr>
            <w:r>
              <w:rPr>
                <w:b/>
                <w:sz w:val="18"/>
              </w:rPr>
              <w:t>350.7</w:t>
            </w:r>
          </w:p>
        </w:tc>
        <w:tc>
          <w:tcPr>
            <w:tcW w:type="dxa" w:w="1170"/>
            <w:shd w:val="clear" w:color="auto" w:fill="CCE0FF"/>
            <w:vAlign w:val="center"/>
          </w:tcPr>
          <w:p>
            <w:pPr>
              <w:jc w:val="right"/>
            </w:pPr>
            <w:r>
              <w:rPr>
                <w:b/>
                <w:sz w:val="18"/>
              </w:rPr>
              <w:t>66.9</w:t>
            </w:r>
          </w:p>
        </w:tc>
        <w:tc>
          <w:tcPr>
            <w:tcW w:type="dxa" w:w="1170"/>
            <w:shd w:val="clear" w:color="auto" w:fill="CCE0FF"/>
            <w:vAlign w:val="center"/>
          </w:tcPr>
          <w:p>
            <w:pPr>
              <w:jc w:val="right"/>
            </w:pPr>
            <w:r>
              <w:rPr>
                <w:b/>
                <w:sz w:val="18"/>
              </w:rPr>
              <w:t>10.0</w:t>
            </w:r>
          </w:p>
        </w:tc>
        <w:tc>
          <w:tcPr>
            <w:tcW w:type="dxa" w:w="1170"/>
            <w:shd w:val="clear" w:color="auto" w:fill="CCE0FF"/>
            <w:vAlign w:val="center"/>
          </w:tcPr>
          <w:p>
            <w:pPr>
              <w:jc w:val="right"/>
            </w:pPr>
            <w:r>
              <w:rPr>
                <w:b/>
                <w:sz w:val="18"/>
              </w:rPr>
              <w:t>0.2</w:t>
            </w:r>
          </w:p>
        </w:tc>
        <w:tc>
          <w:tcPr>
            <w:tcW w:type="dxa" w:w="1170"/>
            <w:shd w:val="clear" w:color="auto" w:fill="CCE0FF"/>
            <w:vAlign w:val="center"/>
          </w:tcPr>
          <w:p>
            <w:pPr>
              <w:jc w:val="right"/>
            </w:pPr>
            <w:r>
              <w:rPr>
                <w:b/>
                <w:sz w:val="18"/>
              </w:rPr>
              <w:t>77.1</w:t>
            </w:r>
          </w:p>
        </w:tc>
        <w:tc>
          <w:tcPr>
            <w:tcW w:type="dxa" w:w="1170"/>
            <w:shd w:val="clear" w:color="auto" w:fill="CCE0FF"/>
            <w:vAlign w:val="center"/>
          </w:tcPr>
          <w:p>
            <w:pPr>
              <w:jc w:val="right"/>
            </w:pPr>
            <w:r>
              <w:rPr>
                <w:b/>
                <w:sz w:val="18"/>
              </w:rPr>
              <w:t>0.030%</w:t>
            </w:r>
          </w:p>
        </w:tc>
      </w:tr>
      <w:tr>
        <w:tc>
          <w:tcPr>
            <w:tcW w:type="dxa" w:w="1170"/>
            <w:shd w:val="clear" w:color="auto" w:fill="CCE5CC"/>
            <w:vAlign w:val="center"/>
          </w:tcPr>
          <w:p>
            <w:pPr>
              <w:jc w:val="left"/>
            </w:pPr>
            <w:r>
              <w:rPr>
                <w:b/>
                <w:sz w:val="18"/>
              </w:rPr>
              <w:t>Combined A + VAT</w:t>
            </w:r>
          </w:p>
        </w:tc>
        <w:tc>
          <w:tcPr>
            <w:tcW w:type="dxa" w:w="1170"/>
            <w:shd w:val="clear" w:color="auto" w:fill="CCE5CC"/>
            <w:vAlign w:val="center"/>
          </w:tcPr>
          <w:p>
            <w:pPr>
              <w:jc w:val="right"/>
            </w:pPr>
            <w:r>
              <w:rPr>
                <w:b/>
                <w:sz w:val="18"/>
              </w:rPr>
              <w:t>2000</w:t>
            </w:r>
          </w:p>
        </w:tc>
        <w:tc>
          <w:tcPr>
            <w:tcW w:type="dxa" w:w="1170"/>
            <w:shd w:val="clear" w:color="auto" w:fill="CCE5CC"/>
            <w:vAlign w:val="center"/>
          </w:tcPr>
          <w:p>
            <w:pPr>
              <w:jc w:val="right"/>
            </w:pPr>
            <w:r>
              <w:rPr>
                <w:b/>
                <w:sz w:val="18"/>
              </w:rPr>
              <w:t>239.7</w:t>
            </w:r>
          </w:p>
        </w:tc>
        <w:tc>
          <w:tcPr>
            <w:tcW w:type="dxa" w:w="1170"/>
            <w:shd w:val="clear" w:color="auto" w:fill="CCE5CC"/>
            <w:vAlign w:val="center"/>
          </w:tcPr>
          <w:p>
            <w:pPr>
              <w:jc w:val="right"/>
            </w:pPr>
            <w:r>
              <w:rPr>
                <w:b/>
                <w:sz w:val="18"/>
              </w:rPr>
              <w:t>46.2</w:t>
            </w:r>
          </w:p>
        </w:tc>
        <w:tc>
          <w:tcPr>
            <w:tcW w:type="dxa" w:w="1170"/>
            <w:shd w:val="clear" w:color="auto" w:fill="CCE5CC"/>
            <w:vAlign w:val="center"/>
          </w:tcPr>
          <w:p>
            <w:pPr>
              <w:jc w:val="right"/>
            </w:pPr>
            <w:r>
              <w:rPr>
                <w:b/>
                <w:sz w:val="18"/>
              </w:rPr>
              <w:t>6.8</w:t>
            </w:r>
          </w:p>
        </w:tc>
        <w:tc>
          <w:tcPr>
            <w:tcW w:type="dxa" w:w="1170"/>
            <w:shd w:val="clear" w:color="auto" w:fill="CCE5CC"/>
            <w:vAlign w:val="center"/>
          </w:tcPr>
          <w:p>
            <w:pPr>
              <w:jc w:val="right"/>
            </w:pPr>
            <w:r>
              <w:rPr>
                <w:b/>
                <w:sz w:val="18"/>
              </w:rPr>
              <w:t>11.2</w:t>
            </w:r>
          </w:p>
        </w:tc>
        <w:tc>
          <w:tcPr>
            <w:tcW w:type="dxa" w:w="1170"/>
            <w:shd w:val="clear" w:color="auto" w:fill="CCE5CC"/>
            <w:vAlign w:val="center"/>
          </w:tcPr>
          <w:p>
            <w:pPr>
              <w:jc w:val="right"/>
            </w:pPr>
            <w:r>
              <w:rPr>
                <w:b/>
                <w:sz w:val="18"/>
              </w:rPr>
              <w:t>64.2</w:t>
            </w:r>
          </w:p>
        </w:tc>
        <w:tc>
          <w:tcPr>
            <w:tcW w:type="dxa" w:w="1170"/>
            <w:shd w:val="clear" w:color="auto" w:fill="CCE5CC"/>
            <w:vAlign w:val="center"/>
          </w:tcPr>
          <w:p>
            <w:pPr>
              <w:jc w:val="right"/>
            </w:pPr>
            <w:r>
              <w:rPr>
                <w:b/>
                <w:sz w:val="18"/>
              </w:rPr>
              <w:t>0.038%</w:t>
            </w:r>
          </w:p>
        </w:tc>
      </w:tr>
      <w:tr>
        <w:tc>
          <w:tcPr>
            <w:tcW w:type="dxa" w:w="1170"/>
            <w:shd w:val="clear" w:color="auto" w:fill="CCE5CC"/>
            <w:vAlign w:val="center"/>
          </w:tcPr>
          <w:p>
            <w:pPr>
              <w:jc w:val="left"/>
            </w:pPr>
            <w:r>
              <w:rPr>
                <w:b/>
                <w:sz w:val="18"/>
              </w:rPr>
              <w:t>Combined B + VAT</w:t>
            </w:r>
          </w:p>
        </w:tc>
        <w:tc>
          <w:tcPr>
            <w:tcW w:type="dxa" w:w="1170"/>
            <w:shd w:val="clear" w:color="auto" w:fill="CCE5CC"/>
            <w:vAlign w:val="center"/>
          </w:tcPr>
          <w:p>
            <w:pPr>
              <w:jc w:val="right"/>
            </w:pPr>
            <w:r>
              <w:rPr>
                <w:b/>
                <w:sz w:val="18"/>
              </w:rPr>
              <w:t>3000</w:t>
            </w:r>
          </w:p>
        </w:tc>
        <w:tc>
          <w:tcPr>
            <w:tcW w:type="dxa" w:w="1170"/>
            <w:shd w:val="clear" w:color="auto" w:fill="CCE5CC"/>
            <w:vAlign w:val="center"/>
          </w:tcPr>
          <w:p>
            <w:pPr>
              <w:jc w:val="right"/>
            </w:pPr>
            <w:r>
              <w:rPr>
                <w:b/>
                <w:sz w:val="18"/>
              </w:rPr>
              <w:t>350.7</w:t>
            </w:r>
          </w:p>
        </w:tc>
        <w:tc>
          <w:tcPr>
            <w:tcW w:type="dxa" w:w="1170"/>
            <w:shd w:val="clear" w:color="auto" w:fill="CCE5CC"/>
            <w:vAlign w:val="center"/>
          </w:tcPr>
          <w:p>
            <w:pPr>
              <w:jc w:val="right"/>
            </w:pPr>
            <w:r>
              <w:rPr>
                <w:b/>
                <w:sz w:val="18"/>
              </w:rPr>
              <w:t>66.9</w:t>
            </w:r>
          </w:p>
        </w:tc>
        <w:tc>
          <w:tcPr>
            <w:tcW w:type="dxa" w:w="1170"/>
            <w:shd w:val="clear" w:color="auto" w:fill="CCE5CC"/>
            <w:vAlign w:val="center"/>
          </w:tcPr>
          <w:p>
            <w:pPr>
              <w:jc w:val="right"/>
            </w:pPr>
            <w:r>
              <w:rPr>
                <w:b/>
                <w:sz w:val="18"/>
              </w:rPr>
              <w:t>10.0</w:t>
            </w:r>
          </w:p>
        </w:tc>
        <w:tc>
          <w:tcPr>
            <w:tcW w:type="dxa" w:w="1170"/>
            <w:shd w:val="clear" w:color="auto" w:fill="CCE5CC"/>
            <w:vAlign w:val="center"/>
          </w:tcPr>
          <w:p>
            <w:pPr>
              <w:jc w:val="right"/>
            </w:pPr>
            <w:r>
              <w:rPr>
                <w:b/>
                <w:sz w:val="18"/>
              </w:rPr>
              <w:t>16.4</w:t>
            </w:r>
          </w:p>
        </w:tc>
        <w:tc>
          <w:tcPr>
            <w:tcW w:type="dxa" w:w="1170"/>
            <w:shd w:val="clear" w:color="auto" w:fill="CCE5CC"/>
            <w:vAlign w:val="center"/>
          </w:tcPr>
          <w:p>
            <w:pPr>
              <w:jc w:val="right"/>
            </w:pPr>
            <w:r>
              <w:rPr>
                <w:b/>
                <w:sz w:val="18"/>
              </w:rPr>
              <w:t>93.3</w:t>
            </w:r>
          </w:p>
        </w:tc>
        <w:tc>
          <w:tcPr>
            <w:tcW w:type="dxa" w:w="1170"/>
            <w:shd w:val="clear" w:color="auto" w:fill="CCE5CC"/>
            <w:vAlign w:val="center"/>
          </w:tcPr>
          <w:p>
            <w:pPr>
              <w:jc w:val="right"/>
            </w:pPr>
            <w:r>
              <w:rPr>
                <w:b/>
                <w:sz w:val="18"/>
              </w:rPr>
              <w:t>0.055%</w:t>
            </w:r>
          </w:p>
        </w:tc>
      </w:tr>
    </w:tbl>
    <w:p>
      <w:r>
        <w:rPr>
          <w:color w:val="606060"/>
          <w:sz w:val="16"/>
        </w:rPr>
        <w:t>CIT/SD/VAT+Duty all in IDR T (cumulative over incentive periods). Ann. % GDP = (CIT/10 yr + VAT+Duty/3 yr) ÷ IDR 22,139T (2024 GDP). Scenarios A and B assume no new SEZ concessions; existing SEZ VAT (IDR 0.2T) reflected in baseline. VAT+Duty for Combined A: IDR 9.2T (VAT) + IDR 2.0T (duty) = IDR 11.2T on IDR 83.9T equipment base (35% of IDR 239.7T). Combined B: IDR 13.5T (VAT) + IDR 2.9T (duty) = IDR 16.4T on IDR 122.7T equipment base (35% of IDR 350.7T).</w:t>
      </w:r>
    </w:p>
    <w:p/>
    <w:p>
      <w:pPr>
        <w:pStyle w:val="Heading2"/>
      </w:pPr>
      <w:r>
        <w:t>Table 3 — Tax Incentive Cost by Data Centre (Top 20 by Exposure)</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1B3A6B"/>
            <w:vAlign w:val="center"/>
          </w:tcPr>
          <w:p>
            <w:pPr>
              <w:jc w:val="center"/>
            </w:pPr>
            <w:r>
              <w:rPr>
                <w:b/>
                <w:color w:val="FFFFFF"/>
                <w:sz w:val="18"/>
              </w:rPr>
              <w:t>Operator</w:t>
            </w:r>
          </w:p>
        </w:tc>
        <w:tc>
          <w:tcPr>
            <w:tcW w:type="dxa" w:w="1170"/>
            <w:shd w:val="clear" w:color="auto" w:fill="1B3A6B"/>
            <w:vAlign w:val="center"/>
          </w:tcPr>
          <w:p>
            <w:pPr>
              <w:jc w:val="center"/>
            </w:pPr>
            <w:r>
              <w:rPr>
                <w:b/>
                <w:color w:val="FFFFFF"/>
                <w:sz w:val="18"/>
              </w:rPr>
              <w:t>Facility</w:t>
            </w:r>
          </w:p>
        </w:tc>
        <w:tc>
          <w:tcPr>
            <w:tcW w:type="dxa" w:w="1170"/>
            <w:shd w:val="clear" w:color="auto" w:fill="1B3A6B"/>
            <w:vAlign w:val="center"/>
          </w:tcPr>
          <w:p>
            <w:pPr>
              <w:jc w:val="center"/>
            </w:pPr>
            <w:r>
              <w:rPr>
                <w:b/>
                <w:color w:val="FFFFFF"/>
                <w:sz w:val="18"/>
              </w:rPr>
              <w:t>GMT</w:t>
            </w:r>
          </w:p>
        </w:tc>
        <w:tc>
          <w:tcPr>
            <w:tcW w:type="dxa" w:w="1170"/>
            <w:shd w:val="clear" w:color="auto" w:fill="1B3A6B"/>
            <w:vAlign w:val="center"/>
          </w:tcPr>
          <w:p>
            <w:pPr>
              <w:jc w:val="center"/>
            </w:pPr>
            <w:r>
              <w:rPr>
                <w:b/>
                <w:color w:val="FFFFFF"/>
                <w:sz w:val="18"/>
              </w:rPr>
              <w:t>Hol. Yrs</w:t>
            </w:r>
          </w:p>
        </w:tc>
        <w:tc>
          <w:tcPr>
            <w:tcW w:type="dxa" w:w="1170"/>
            <w:shd w:val="clear" w:color="auto" w:fill="1B3A6B"/>
            <w:vAlign w:val="center"/>
          </w:tcPr>
          <w:p>
            <w:pPr>
              <w:jc w:val="center"/>
            </w:pPr>
            <w:r>
              <w:rPr>
                <w:b/>
                <w:color w:val="FFFFFF"/>
                <w:sz w:val="18"/>
              </w:rPr>
              <w:t>Inv. (IDR T)</w:t>
            </w:r>
          </w:p>
        </w:tc>
        <w:tc>
          <w:tcPr>
            <w:tcW w:type="dxa" w:w="1170"/>
            <w:shd w:val="clear" w:color="auto" w:fill="1B3A6B"/>
            <w:vAlign w:val="center"/>
          </w:tcPr>
          <w:p>
            <w:pPr>
              <w:jc w:val="center"/>
            </w:pPr>
            <w:r>
              <w:rPr>
                <w:b/>
                <w:color w:val="FFFFFF"/>
                <w:sz w:val="18"/>
              </w:rPr>
              <w:t>Ann. CIT</w:t>
            </w:r>
          </w:p>
        </w:tc>
        <w:tc>
          <w:tcPr>
            <w:tcW w:type="dxa" w:w="1170"/>
            <w:shd w:val="clear" w:color="auto" w:fill="1B3A6B"/>
            <w:vAlign w:val="center"/>
          </w:tcPr>
          <w:p>
            <w:pPr>
              <w:jc w:val="center"/>
            </w:pPr>
            <w:r>
              <w:rPr>
                <w:b/>
                <w:color w:val="FFFFFF"/>
                <w:sz w:val="18"/>
              </w:rPr>
              <w:t>Cum. CIT</w:t>
            </w:r>
          </w:p>
        </w:tc>
        <w:tc>
          <w:tcPr>
            <w:tcW w:type="dxa" w:w="1170"/>
            <w:shd w:val="clear" w:color="auto" w:fill="1B3A6B"/>
            <w:vAlign w:val="center"/>
          </w:tcPr>
          <w:p>
            <w:pPr>
              <w:jc w:val="center"/>
            </w:pPr>
            <w:r>
              <w:rPr>
                <w:b/>
                <w:color w:val="FFFFFF"/>
                <w:sz w:val="18"/>
              </w:rPr>
              <w:t>SD (IDR T)</w:t>
            </w:r>
          </w:p>
        </w:tc>
      </w:tr>
      <w:tr>
        <w:tc>
          <w:tcPr>
            <w:tcW w:type="dxa" w:w="1170"/>
            <w:shd w:val="clear" w:color="auto" w:fill="F2F2F2"/>
            <w:vAlign w:val="center"/>
          </w:tcPr>
          <w:p>
            <w:pPr>
              <w:jc w:val="left"/>
            </w:pPr>
            <w:r>
              <w:rPr>
                <w:b w:val="0"/>
                <w:sz w:val="18"/>
              </w:rPr>
              <w:t>BDx Indonesia</w:t>
            </w:r>
          </w:p>
        </w:tc>
        <w:tc>
          <w:tcPr>
            <w:tcW w:type="dxa" w:w="1170"/>
            <w:shd w:val="clear" w:color="auto" w:fill="F2F2F2"/>
            <w:vAlign w:val="center"/>
          </w:tcPr>
          <w:p>
            <w:pPr>
              <w:jc w:val="right"/>
            </w:pPr>
            <w:r>
              <w:rPr>
                <w:b w:val="0"/>
                <w:sz w:val="18"/>
              </w:rPr>
              <w:t>CGK4 Jatiluhur</w:t>
            </w:r>
          </w:p>
        </w:tc>
        <w:tc>
          <w:tcPr>
            <w:tcW w:type="dxa" w:w="1170"/>
            <w:shd w:val="clear" w:color="auto" w:fill="F2F2F2"/>
            <w:vAlign w:val="center"/>
          </w:tcPr>
          <w:p>
            <w:pPr>
              <w:jc w:val="right"/>
            </w:pPr>
            <w:r>
              <w:rPr>
                <w:b w:val="0"/>
                <w:sz w:val="18"/>
              </w:rPr>
              <w:t>No</w:t>
            </w:r>
          </w:p>
        </w:tc>
        <w:tc>
          <w:tcPr>
            <w:tcW w:type="dxa" w:w="1170"/>
            <w:shd w:val="clear" w:color="auto" w:fill="F2F2F2"/>
            <w:vAlign w:val="center"/>
          </w:tcPr>
          <w:p>
            <w:pPr>
              <w:jc w:val="right"/>
            </w:pPr>
            <w:r>
              <w:rPr>
                <w:b w:val="0"/>
                <w:sz w:val="18"/>
              </w:rPr>
              <w:t>20</w:t>
            </w:r>
          </w:p>
        </w:tc>
        <w:tc>
          <w:tcPr>
            <w:tcW w:type="dxa" w:w="1170"/>
            <w:shd w:val="clear" w:color="auto" w:fill="F2F2F2"/>
            <w:vAlign w:val="center"/>
          </w:tcPr>
          <w:p>
            <w:pPr>
              <w:jc w:val="right"/>
            </w:pPr>
            <w:r>
              <w:rPr>
                <w:b w:val="0"/>
                <w:sz w:val="18"/>
              </w:rPr>
              <w:t>77.50</w:t>
            </w:r>
          </w:p>
        </w:tc>
        <w:tc>
          <w:tcPr>
            <w:tcW w:type="dxa" w:w="1170"/>
            <w:shd w:val="clear" w:color="auto" w:fill="F2F2F2"/>
            <w:vAlign w:val="center"/>
          </w:tcPr>
          <w:p>
            <w:pPr>
              <w:jc w:val="right"/>
            </w:pPr>
            <w:r>
              <w:rPr>
                <w:b w:val="0"/>
                <w:sz w:val="18"/>
              </w:rPr>
              <w:t>2.046</w:t>
            </w:r>
          </w:p>
        </w:tc>
        <w:tc>
          <w:tcPr>
            <w:tcW w:type="dxa" w:w="1170"/>
            <w:shd w:val="clear" w:color="auto" w:fill="F2F2F2"/>
            <w:vAlign w:val="center"/>
          </w:tcPr>
          <w:p>
            <w:pPr>
              <w:jc w:val="right"/>
            </w:pPr>
            <w:r>
              <w:rPr>
                <w:b w:val="0"/>
                <w:sz w:val="18"/>
              </w:rPr>
              <w:t>40.920</w:t>
            </w:r>
          </w:p>
        </w:tc>
        <w:tc>
          <w:tcPr>
            <w:tcW w:type="dxa" w:w="1170"/>
            <w:shd w:val="clear" w:color="auto" w:fill="F2F2F2"/>
            <w:vAlign w:val="center"/>
          </w:tcPr>
          <w:p>
            <w:pPr>
              <w:jc w:val="right"/>
            </w:pPr>
            <w:r>
              <w:rPr>
                <w:b w:val="0"/>
                <w:sz w:val="18"/>
              </w:rPr>
              <w:t>3.410</w:t>
            </w:r>
          </w:p>
        </w:tc>
      </w:tr>
      <w:tr>
        <w:tc>
          <w:tcPr>
            <w:tcW w:type="dxa" w:w="1170"/>
            <w:vAlign w:val="center"/>
          </w:tcPr>
          <w:p>
            <w:pPr>
              <w:jc w:val="left"/>
            </w:pPr>
            <w:r>
              <w:rPr>
                <w:b w:val="0"/>
                <w:sz w:val="18"/>
              </w:rPr>
              <w:t>Digital Edge (Indonet)</w:t>
            </w:r>
          </w:p>
        </w:tc>
        <w:tc>
          <w:tcPr>
            <w:tcW w:type="dxa" w:w="1170"/>
            <w:vAlign w:val="center"/>
          </w:tcPr>
          <w:p>
            <w:pPr>
              <w:jc w:val="right"/>
            </w:pPr>
            <w:r>
              <w:rPr>
                <w:b w:val="0"/>
                <w:sz w:val="18"/>
              </w:rPr>
              <w:t>CGK Campus</w:t>
            </w:r>
          </w:p>
        </w:tc>
        <w:tc>
          <w:tcPr>
            <w:tcW w:type="dxa" w:w="1170"/>
            <w:vAlign w:val="center"/>
          </w:tcPr>
          <w:p>
            <w:pPr>
              <w:jc w:val="right"/>
            </w:pPr>
            <w:r>
              <w:rPr>
                <w:b w:val="0"/>
                <w:sz w:val="18"/>
              </w:rPr>
              <w:t>No</w:t>
            </w:r>
          </w:p>
        </w:tc>
        <w:tc>
          <w:tcPr>
            <w:tcW w:type="dxa" w:w="1170"/>
            <w:vAlign w:val="center"/>
          </w:tcPr>
          <w:p>
            <w:pPr>
              <w:jc w:val="right"/>
            </w:pPr>
            <w:r>
              <w:rPr>
                <w:b w:val="0"/>
                <w:sz w:val="18"/>
              </w:rPr>
              <w:t>20</w:t>
            </w:r>
          </w:p>
        </w:tc>
        <w:tc>
          <w:tcPr>
            <w:tcW w:type="dxa" w:w="1170"/>
            <w:vAlign w:val="center"/>
          </w:tcPr>
          <w:p>
            <w:pPr>
              <w:jc w:val="right"/>
            </w:pPr>
            <w:r>
              <w:rPr>
                <w:b w:val="0"/>
                <w:sz w:val="18"/>
              </w:rPr>
              <w:t>69.75</w:t>
            </w:r>
          </w:p>
        </w:tc>
        <w:tc>
          <w:tcPr>
            <w:tcW w:type="dxa" w:w="1170"/>
            <w:vAlign w:val="center"/>
          </w:tcPr>
          <w:p>
            <w:pPr>
              <w:jc w:val="right"/>
            </w:pPr>
            <w:r>
              <w:rPr>
                <w:b w:val="0"/>
                <w:sz w:val="18"/>
              </w:rPr>
              <w:t>1.841</w:t>
            </w:r>
          </w:p>
        </w:tc>
        <w:tc>
          <w:tcPr>
            <w:tcW w:type="dxa" w:w="1170"/>
            <w:vAlign w:val="center"/>
          </w:tcPr>
          <w:p>
            <w:pPr>
              <w:jc w:val="right"/>
            </w:pPr>
            <w:r>
              <w:rPr>
                <w:b w:val="0"/>
                <w:sz w:val="18"/>
              </w:rPr>
              <w:t>36.828</w:t>
            </w:r>
          </w:p>
        </w:tc>
        <w:tc>
          <w:tcPr>
            <w:tcW w:type="dxa" w:w="1170"/>
            <w:vAlign w:val="center"/>
          </w:tcPr>
          <w:p>
            <w:pPr>
              <w:jc w:val="right"/>
            </w:pPr>
            <w:r>
              <w:rPr>
                <w:b w:val="0"/>
                <w:sz w:val="18"/>
              </w:rPr>
              <w:t>3.069</w:t>
            </w:r>
          </w:p>
        </w:tc>
      </w:tr>
      <w:tr>
        <w:tc>
          <w:tcPr>
            <w:tcW w:type="dxa" w:w="1170"/>
            <w:shd w:val="clear" w:color="auto" w:fill="F2F2F2"/>
            <w:vAlign w:val="center"/>
          </w:tcPr>
          <w:p>
            <w:pPr>
              <w:jc w:val="left"/>
            </w:pPr>
            <w:r>
              <w:rPr>
                <w:b w:val="0"/>
                <w:sz w:val="18"/>
              </w:rPr>
              <w:t>Princeton Digital Group</w:t>
            </w:r>
          </w:p>
        </w:tc>
        <w:tc>
          <w:tcPr>
            <w:tcW w:type="dxa" w:w="1170"/>
            <w:shd w:val="clear" w:color="auto" w:fill="F2F2F2"/>
            <w:vAlign w:val="center"/>
          </w:tcPr>
          <w:p>
            <w:pPr>
              <w:jc w:val="right"/>
            </w:pPr>
            <w:r>
              <w:rPr>
                <w:b w:val="0"/>
                <w:sz w:val="18"/>
              </w:rPr>
              <w:t>JC3</w:t>
            </w:r>
          </w:p>
        </w:tc>
        <w:tc>
          <w:tcPr>
            <w:tcW w:type="dxa" w:w="1170"/>
            <w:shd w:val="clear" w:color="auto" w:fill="F2F2F2"/>
            <w:vAlign w:val="center"/>
          </w:tcPr>
          <w:p>
            <w:pPr>
              <w:jc w:val="right"/>
            </w:pPr>
            <w:r>
              <w:rPr>
                <w:b w:val="0"/>
                <w:sz w:val="18"/>
              </w:rPr>
              <w:t>No</w:t>
            </w:r>
          </w:p>
        </w:tc>
        <w:tc>
          <w:tcPr>
            <w:tcW w:type="dxa" w:w="1170"/>
            <w:shd w:val="clear" w:color="auto" w:fill="F2F2F2"/>
            <w:vAlign w:val="center"/>
          </w:tcPr>
          <w:p>
            <w:pPr>
              <w:jc w:val="right"/>
            </w:pPr>
            <w:r>
              <w:rPr>
                <w:b w:val="0"/>
                <w:sz w:val="18"/>
              </w:rPr>
              <w:t>15</w:t>
            </w:r>
          </w:p>
        </w:tc>
        <w:tc>
          <w:tcPr>
            <w:tcW w:type="dxa" w:w="1170"/>
            <w:shd w:val="clear" w:color="auto" w:fill="F2F2F2"/>
            <w:vAlign w:val="center"/>
          </w:tcPr>
          <w:p>
            <w:pPr>
              <w:jc w:val="right"/>
            </w:pPr>
            <w:r>
              <w:rPr>
                <w:b w:val="0"/>
                <w:sz w:val="18"/>
              </w:rPr>
              <w:t>15.50</w:t>
            </w:r>
          </w:p>
        </w:tc>
        <w:tc>
          <w:tcPr>
            <w:tcW w:type="dxa" w:w="1170"/>
            <w:shd w:val="clear" w:color="auto" w:fill="F2F2F2"/>
            <w:vAlign w:val="center"/>
          </w:tcPr>
          <w:p>
            <w:pPr>
              <w:jc w:val="right"/>
            </w:pPr>
            <w:r>
              <w:rPr>
                <w:b w:val="0"/>
                <w:sz w:val="18"/>
              </w:rPr>
              <w:t>0.409</w:t>
            </w:r>
          </w:p>
        </w:tc>
        <w:tc>
          <w:tcPr>
            <w:tcW w:type="dxa" w:w="1170"/>
            <w:shd w:val="clear" w:color="auto" w:fill="F2F2F2"/>
            <w:vAlign w:val="center"/>
          </w:tcPr>
          <w:p>
            <w:pPr>
              <w:jc w:val="right"/>
            </w:pPr>
            <w:r>
              <w:rPr>
                <w:b w:val="0"/>
                <w:sz w:val="18"/>
              </w:rPr>
              <w:t>6.138</w:t>
            </w:r>
          </w:p>
        </w:tc>
        <w:tc>
          <w:tcPr>
            <w:tcW w:type="dxa" w:w="1170"/>
            <w:shd w:val="clear" w:color="auto" w:fill="F2F2F2"/>
            <w:vAlign w:val="center"/>
          </w:tcPr>
          <w:p>
            <w:pPr>
              <w:jc w:val="right"/>
            </w:pPr>
            <w:r>
              <w:rPr>
                <w:b w:val="0"/>
                <w:sz w:val="18"/>
              </w:rPr>
              <w:t>0.682</w:t>
            </w:r>
          </w:p>
        </w:tc>
      </w:tr>
      <w:tr>
        <w:tc>
          <w:tcPr>
            <w:tcW w:type="dxa" w:w="1170"/>
            <w:vAlign w:val="center"/>
          </w:tcPr>
          <w:p>
            <w:pPr>
              <w:jc w:val="left"/>
            </w:pPr>
            <w:r>
              <w:rPr>
                <w:b w:val="0"/>
                <w:sz w:val="18"/>
              </w:rPr>
              <w:t>DAMAC Digital</w:t>
            </w:r>
          </w:p>
        </w:tc>
        <w:tc>
          <w:tcPr>
            <w:tcW w:type="dxa" w:w="1170"/>
            <w:vAlign w:val="center"/>
          </w:tcPr>
          <w:p>
            <w:pPr>
              <w:jc w:val="right"/>
            </w:pPr>
            <w:r>
              <w:rPr>
                <w:b w:val="0"/>
                <w:sz w:val="18"/>
              </w:rPr>
              <w:t>Cikarang DC</w:t>
            </w:r>
          </w:p>
        </w:tc>
        <w:tc>
          <w:tcPr>
            <w:tcW w:type="dxa" w:w="1170"/>
            <w:vAlign w:val="center"/>
          </w:tcPr>
          <w:p>
            <w:pPr>
              <w:jc w:val="right"/>
            </w:pPr>
            <w:r>
              <w:rPr>
                <w:b w:val="0"/>
                <w:sz w:val="18"/>
              </w:rPr>
              <w:t>Yes</w:t>
            </w:r>
          </w:p>
        </w:tc>
        <w:tc>
          <w:tcPr>
            <w:tcW w:type="dxa" w:w="1170"/>
            <w:vAlign w:val="center"/>
          </w:tcPr>
          <w:p>
            <w:pPr>
              <w:jc w:val="right"/>
            </w:pPr>
            <w:r>
              <w:rPr>
                <w:b w:val="0"/>
                <w:sz w:val="18"/>
              </w:rPr>
              <w:t>20</w:t>
            </w:r>
          </w:p>
        </w:tc>
        <w:tc>
          <w:tcPr>
            <w:tcW w:type="dxa" w:w="1170"/>
            <w:vAlign w:val="center"/>
          </w:tcPr>
          <w:p>
            <w:pPr>
              <w:jc w:val="right"/>
            </w:pPr>
            <w:r>
              <w:rPr>
                <w:b w:val="0"/>
                <w:sz w:val="18"/>
              </w:rPr>
              <w:t>35.65</w:t>
            </w:r>
          </w:p>
        </w:tc>
        <w:tc>
          <w:tcPr>
            <w:tcW w:type="dxa" w:w="1170"/>
            <w:vAlign w:val="center"/>
          </w:tcPr>
          <w:p>
            <w:pPr>
              <w:jc w:val="right"/>
            </w:pPr>
            <w:r>
              <w:rPr>
                <w:b w:val="0"/>
                <w:sz w:val="18"/>
              </w:rPr>
              <w:t>0.299</w:t>
            </w:r>
          </w:p>
        </w:tc>
        <w:tc>
          <w:tcPr>
            <w:tcW w:type="dxa" w:w="1170"/>
            <w:vAlign w:val="center"/>
          </w:tcPr>
          <w:p>
            <w:pPr>
              <w:jc w:val="right"/>
            </w:pPr>
            <w:r>
              <w:rPr>
                <w:b w:val="0"/>
                <w:sz w:val="18"/>
              </w:rPr>
              <w:t>5.989</w:t>
            </w:r>
          </w:p>
        </w:tc>
        <w:tc>
          <w:tcPr>
            <w:tcW w:type="dxa" w:w="1170"/>
            <w:vAlign w:val="center"/>
          </w:tcPr>
          <w:p>
            <w:pPr>
              <w:jc w:val="right"/>
            </w:pPr>
            <w:r>
              <w:rPr>
                <w:b w:val="0"/>
                <w:sz w:val="18"/>
              </w:rPr>
              <w:t>—</w:t>
            </w:r>
          </w:p>
        </w:tc>
      </w:tr>
      <w:tr>
        <w:tc>
          <w:tcPr>
            <w:tcW w:type="dxa" w:w="1170"/>
            <w:shd w:val="clear" w:color="auto" w:fill="F2F2F2"/>
            <w:vAlign w:val="center"/>
          </w:tcPr>
          <w:p>
            <w:pPr>
              <w:jc w:val="left"/>
            </w:pPr>
            <w:r>
              <w:rPr>
                <w:b w:val="0"/>
                <w:sz w:val="18"/>
              </w:rPr>
              <w:t>Princeton Digital Group</w:t>
            </w:r>
          </w:p>
        </w:tc>
        <w:tc>
          <w:tcPr>
            <w:tcW w:type="dxa" w:w="1170"/>
            <w:shd w:val="clear" w:color="auto" w:fill="F2F2F2"/>
            <w:vAlign w:val="center"/>
          </w:tcPr>
          <w:p>
            <w:pPr>
              <w:jc w:val="right"/>
            </w:pPr>
            <w:r>
              <w:rPr>
                <w:b w:val="0"/>
                <w:sz w:val="18"/>
              </w:rPr>
              <w:t>Batam Campus</w:t>
            </w:r>
          </w:p>
        </w:tc>
        <w:tc>
          <w:tcPr>
            <w:tcW w:type="dxa" w:w="1170"/>
            <w:shd w:val="clear" w:color="auto" w:fill="F2F2F2"/>
            <w:vAlign w:val="center"/>
          </w:tcPr>
          <w:p>
            <w:pPr>
              <w:jc w:val="right"/>
            </w:pPr>
            <w:r>
              <w:rPr>
                <w:b w:val="0"/>
                <w:sz w:val="18"/>
              </w:rPr>
              <w:t>No</w:t>
            </w:r>
          </w:p>
        </w:tc>
        <w:tc>
          <w:tcPr>
            <w:tcW w:type="dxa" w:w="1170"/>
            <w:shd w:val="clear" w:color="auto" w:fill="F2F2F2"/>
            <w:vAlign w:val="center"/>
          </w:tcPr>
          <w:p>
            <w:pPr>
              <w:jc w:val="right"/>
            </w:pPr>
            <w:r>
              <w:rPr>
                <w:b w:val="0"/>
                <w:sz w:val="18"/>
              </w:rPr>
              <w:t>10</w:t>
            </w:r>
          </w:p>
        </w:tc>
        <w:tc>
          <w:tcPr>
            <w:tcW w:type="dxa" w:w="1170"/>
            <w:shd w:val="clear" w:color="auto" w:fill="F2F2F2"/>
            <w:vAlign w:val="center"/>
          </w:tcPr>
          <w:p>
            <w:pPr>
              <w:jc w:val="right"/>
            </w:pPr>
            <w:r>
              <w:rPr>
                <w:b w:val="0"/>
                <w:sz w:val="18"/>
              </w:rPr>
              <w:t>10.42</w:t>
            </w:r>
          </w:p>
        </w:tc>
        <w:tc>
          <w:tcPr>
            <w:tcW w:type="dxa" w:w="1170"/>
            <w:shd w:val="clear" w:color="auto" w:fill="F2F2F2"/>
            <w:vAlign w:val="center"/>
          </w:tcPr>
          <w:p>
            <w:pPr>
              <w:jc w:val="right"/>
            </w:pPr>
            <w:r>
              <w:rPr>
                <w:b w:val="0"/>
                <w:sz w:val="18"/>
              </w:rPr>
              <w:t>0.275</w:t>
            </w:r>
          </w:p>
        </w:tc>
        <w:tc>
          <w:tcPr>
            <w:tcW w:type="dxa" w:w="1170"/>
            <w:shd w:val="clear" w:color="auto" w:fill="F2F2F2"/>
            <w:vAlign w:val="center"/>
          </w:tcPr>
          <w:p>
            <w:pPr>
              <w:jc w:val="right"/>
            </w:pPr>
            <w:r>
              <w:rPr>
                <w:b w:val="0"/>
                <w:sz w:val="18"/>
              </w:rPr>
              <w:t>2.751</w:t>
            </w:r>
          </w:p>
        </w:tc>
        <w:tc>
          <w:tcPr>
            <w:tcW w:type="dxa" w:w="1170"/>
            <w:shd w:val="clear" w:color="auto" w:fill="F2F2F2"/>
            <w:vAlign w:val="center"/>
          </w:tcPr>
          <w:p>
            <w:pPr>
              <w:jc w:val="right"/>
            </w:pPr>
            <w:r>
              <w:rPr>
                <w:b w:val="0"/>
                <w:sz w:val="18"/>
              </w:rPr>
              <w:t>0.458</w:t>
            </w:r>
          </w:p>
        </w:tc>
      </w:tr>
      <w:tr>
        <w:tc>
          <w:tcPr>
            <w:tcW w:type="dxa" w:w="1170"/>
            <w:vAlign w:val="center"/>
          </w:tcPr>
          <w:p>
            <w:pPr>
              <w:jc w:val="left"/>
            </w:pPr>
            <w:r>
              <w:rPr>
                <w:b w:val="0"/>
                <w:sz w:val="18"/>
              </w:rPr>
              <w:t>DCI Indonesia</w:t>
            </w:r>
          </w:p>
        </w:tc>
        <w:tc>
          <w:tcPr>
            <w:tcW w:type="dxa" w:w="1170"/>
            <w:vAlign w:val="center"/>
          </w:tcPr>
          <w:p>
            <w:pPr>
              <w:jc w:val="right"/>
            </w:pPr>
            <w:r>
              <w:rPr>
                <w:b w:val="0"/>
                <w:sz w:val="18"/>
              </w:rPr>
              <w:t>H1 Campus</w:t>
            </w:r>
          </w:p>
        </w:tc>
        <w:tc>
          <w:tcPr>
            <w:tcW w:type="dxa" w:w="1170"/>
            <w:vAlign w:val="center"/>
          </w:tcPr>
          <w:p>
            <w:pPr>
              <w:jc w:val="right"/>
            </w:pPr>
            <w:r>
              <w:rPr>
                <w:b w:val="0"/>
                <w:sz w:val="18"/>
              </w:rPr>
              <w:t>No</w:t>
            </w:r>
          </w:p>
        </w:tc>
        <w:tc>
          <w:tcPr>
            <w:tcW w:type="dxa" w:w="1170"/>
            <w:vAlign w:val="center"/>
          </w:tcPr>
          <w:p>
            <w:pPr>
              <w:jc w:val="right"/>
            </w:pPr>
            <w:r>
              <w:rPr>
                <w:b w:val="0"/>
                <w:sz w:val="18"/>
              </w:rPr>
              <w:t>10</w:t>
            </w:r>
          </w:p>
        </w:tc>
        <w:tc>
          <w:tcPr>
            <w:tcW w:type="dxa" w:w="1170"/>
            <w:vAlign w:val="center"/>
          </w:tcPr>
          <w:p>
            <w:pPr>
              <w:jc w:val="right"/>
            </w:pPr>
            <w:r>
              <w:rPr>
                <w:b w:val="0"/>
                <w:sz w:val="18"/>
              </w:rPr>
              <w:t>11.32</w:t>
            </w:r>
          </w:p>
        </w:tc>
        <w:tc>
          <w:tcPr>
            <w:tcW w:type="dxa" w:w="1170"/>
            <w:vAlign w:val="center"/>
          </w:tcPr>
          <w:p>
            <w:pPr>
              <w:jc w:val="right"/>
            </w:pPr>
            <w:r>
              <w:rPr>
                <w:b w:val="0"/>
                <w:sz w:val="18"/>
              </w:rPr>
              <w:t>0.299</w:t>
            </w:r>
          </w:p>
        </w:tc>
        <w:tc>
          <w:tcPr>
            <w:tcW w:type="dxa" w:w="1170"/>
            <w:vAlign w:val="center"/>
          </w:tcPr>
          <w:p>
            <w:pPr>
              <w:jc w:val="right"/>
            </w:pPr>
            <w:r>
              <w:rPr>
                <w:b w:val="0"/>
                <w:sz w:val="18"/>
              </w:rPr>
              <w:t>2.988</w:t>
            </w:r>
          </w:p>
        </w:tc>
        <w:tc>
          <w:tcPr>
            <w:tcW w:type="dxa" w:w="1170"/>
            <w:vAlign w:val="center"/>
          </w:tcPr>
          <w:p>
            <w:pPr>
              <w:jc w:val="right"/>
            </w:pPr>
            <w:r>
              <w:rPr>
                <w:b w:val="0"/>
                <w:sz w:val="18"/>
              </w:rPr>
              <w:t>0.498</w:t>
            </w:r>
          </w:p>
        </w:tc>
      </w:tr>
      <w:tr>
        <w:tc>
          <w:tcPr>
            <w:tcW w:type="dxa" w:w="1170"/>
            <w:shd w:val="clear" w:color="auto" w:fill="F2F2F2"/>
            <w:vAlign w:val="center"/>
          </w:tcPr>
          <w:p>
            <w:pPr>
              <w:jc w:val="left"/>
            </w:pPr>
            <w:r>
              <w:rPr>
                <w:b w:val="0"/>
                <w:sz w:val="18"/>
              </w:rPr>
              <w:t>Microsoft</w:t>
            </w:r>
          </w:p>
        </w:tc>
        <w:tc>
          <w:tcPr>
            <w:tcW w:type="dxa" w:w="1170"/>
            <w:shd w:val="clear" w:color="auto" w:fill="F2F2F2"/>
            <w:vAlign w:val="center"/>
          </w:tcPr>
          <w:p>
            <w:pPr>
              <w:jc w:val="right"/>
            </w:pPr>
            <w:r>
              <w:rPr>
                <w:b w:val="0"/>
                <w:sz w:val="18"/>
              </w:rPr>
              <w:t>Indonesia Central Cloud</w:t>
            </w:r>
          </w:p>
        </w:tc>
        <w:tc>
          <w:tcPr>
            <w:tcW w:type="dxa" w:w="1170"/>
            <w:shd w:val="clear" w:color="auto" w:fill="F2F2F2"/>
            <w:vAlign w:val="center"/>
          </w:tcPr>
          <w:p>
            <w:pPr>
              <w:jc w:val="right"/>
            </w:pPr>
            <w:r>
              <w:rPr>
                <w:b w:val="0"/>
                <w:sz w:val="18"/>
              </w:rPr>
              <w:t>Yes</w:t>
            </w:r>
          </w:p>
        </w:tc>
        <w:tc>
          <w:tcPr>
            <w:tcW w:type="dxa" w:w="1170"/>
            <w:shd w:val="clear" w:color="auto" w:fill="F2F2F2"/>
            <w:vAlign w:val="center"/>
          </w:tcPr>
          <w:p>
            <w:pPr>
              <w:jc w:val="right"/>
            </w:pPr>
            <w:r>
              <w:rPr>
                <w:b w:val="0"/>
                <w:sz w:val="18"/>
              </w:rPr>
              <w:t>15</w:t>
            </w:r>
          </w:p>
        </w:tc>
        <w:tc>
          <w:tcPr>
            <w:tcW w:type="dxa" w:w="1170"/>
            <w:shd w:val="clear" w:color="auto" w:fill="F2F2F2"/>
            <w:vAlign w:val="center"/>
          </w:tcPr>
          <w:p>
            <w:pPr>
              <w:jc w:val="right"/>
            </w:pPr>
            <w:r>
              <w:rPr>
                <w:b w:val="0"/>
                <w:sz w:val="18"/>
              </w:rPr>
              <w:t>26.35</w:t>
            </w:r>
          </w:p>
        </w:tc>
        <w:tc>
          <w:tcPr>
            <w:tcW w:type="dxa" w:w="1170"/>
            <w:shd w:val="clear" w:color="auto" w:fill="F2F2F2"/>
            <w:vAlign w:val="center"/>
          </w:tcPr>
          <w:p>
            <w:pPr>
              <w:jc w:val="right"/>
            </w:pPr>
            <w:r>
              <w:rPr>
                <w:b w:val="0"/>
                <w:sz w:val="18"/>
              </w:rPr>
              <w:t>0.221</w:t>
            </w:r>
          </w:p>
        </w:tc>
        <w:tc>
          <w:tcPr>
            <w:tcW w:type="dxa" w:w="1170"/>
            <w:shd w:val="clear" w:color="auto" w:fill="F2F2F2"/>
            <w:vAlign w:val="center"/>
          </w:tcPr>
          <w:p>
            <w:pPr>
              <w:jc w:val="right"/>
            </w:pPr>
            <w:r>
              <w:rPr>
                <w:b w:val="0"/>
                <w:sz w:val="18"/>
              </w:rPr>
              <w:t>3.320</w:t>
            </w:r>
          </w:p>
        </w:tc>
        <w:tc>
          <w:tcPr>
            <w:tcW w:type="dxa" w:w="1170"/>
            <w:shd w:val="clear" w:color="auto" w:fill="F2F2F2"/>
            <w:vAlign w:val="center"/>
          </w:tcPr>
          <w:p>
            <w:pPr>
              <w:jc w:val="right"/>
            </w:pPr>
            <w:r>
              <w:rPr>
                <w:b w:val="0"/>
                <w:sz w:val="18"/>
              </w:rPr>
              <w:t>—</w:t>
            </w:r>
          </w:p>
        </w:tc>
      </w:tr>
      <w:tr>
        <w:tc>
          <w:tcPr>
            <w:tcW w:type="dxa" w:w="1170"/>
            <w:vAlign w:val="center"/>
          </w:tcPr>
          <w:p>
            <w:pPr>
              <w:jc w:val="left"/>
            </w:pPr>
            <w:r>
              <w:rPr>
                <w:b w:val="0"/>
                <w:sz w:val="18"/>
              </w:rPr>
              <w:t>DayOne / INA JV</w:t>
            </w:r>
          </w:p>
        </w:tc>
        <w:tc>
          <w:tcPr>
            <w:tcW w:type="dxa" w:w="1170"/>
            <w:vAlign w:val="center"/>
          </w:tcPr>
          <w:p>
            <w:pPr>
              <w:jc w:val="right"/>
            </w:pPr>
            <w:r>
              <w:rPr>
                <w:b w:val="0"/>
                <w:sz w:val="18"/>
              </w:rPr>
              <w:t>Nongsa Digital Park</w:t>
            </w:r>
          </w:p>
        </w:tc>
        <w:tc>
          <w:tcPr>
            <w:tcW w:type="dxa" w:w="1170"/>
            <w:vAlign w:val="center"/>
          </w:tcPr>
          <w:p>
            <w:pPr>
              <w:jc w:val="right"/>
            </w:pPr>
            <w:r>
              <w:rPr>
                <w:b w:val="0"/>
                <w:sz w:val="18"/>
              </w:rPr>
              <w:t>No</w:t>
            </w:r>
          </w:p>
        </w:tc>
        <w:tc>
          <w:tcPr>
            <w:tcW w:type="dxa" w:w="1170"/>
            <w:vAlign w:val="center"/>
          </w:tcPr>
          <w:p>
            <w:pPr>
              <w:jc w:val="right"/>
            </w:pPr>
            <w:r>
              <w:rPr>
                <w:b w:val="0"/>
                <w:sz w:val="18"/>
              </w:rPr>
              <w:t>10</w:t>
            </w:r>
          </w:p>
        </w:tc>
        <w:tc>
          <w:tcPr>
            <w:tcW w:type="dxa" w:w="1170"/>
            <w:vAlign w:val="center"/>
          </w:tcPr>
          <w:p>
            <w:pPr>
              <w:jc w:val="right"/>
            </w:pPr>
            <w:r>
              <w:rPr>
                <w:b w:val="0"/>
                <w:sz w:val="18"/>
              </w:rPr>
              <w:t>6.70</w:t>
            </w:r>
          </w:p>
        </w:tc>
        <w:tc>
          <w:tcPr>
            <w:tcW w:type="dxa" w:w="1170"/>
            <w:vAlign w:val="center"/>
          </w:tcPr>
          <w:p>
            <w:pPr>
              <w:jc w:val="right"/>
            </w:pPr>
            <w:r>
              <w:rPr>
                <w:b w:val="0"/>
                <w:sz w:val="18"/>
              </w:rPr>
              <w:t>0.177</w:t>
            </w:r>
          </w:p>
        </w:tc>
        <w:tc>
          <w:tcPr>
            <w:tcW w:type="dxa" w:w="1170"/>
            <w:vAlign w:val="center"/>
          </w:tcPr>
          <w:p>
            <w:pPr>
              <w:jc w:val="right"/>
            </w:pPr>
            <w:r>
              <w:rPr>
                <w:b w:val="0"/>
                <w:sz w:val="18"/>
              </w:rPr>
              <w:t>1.769</w:t>
            </w:r>
          </w:p>
        </w:tc>
        <w:tc>
          <w:tcPr>
            <w:tcW w:type="dxa" w:w="1170"/>
            <w:vAlign w:val="center"/>
          </w:tcPr>
          <w:p>
            <w:pPr>
              <w:jc w:val="right"/>
            </w:pPr>
            <w:r>
              <w:rPr>
                <w:b w:val="0"/>
                <w:sz w:val="18"/>
              </w:rPr>
              <w:t>0.295</w:t>
            </w:r>
          </w:p>
        </w:tc>
      </w:tr>
      <w:tr>
        <w:tc>
          <w:tcPr>
            <w:tcW w:type="dxa" w:w="1170"/>
            <w:shd w:val="clear" w:color="auto" w:fill="F2F2F2"/>
            <w:vAlign w:val="center"/>
          </w:tcPr>
          <w:p>
            <w:pPr>
              <w:jc w:val="left"/>
            </w:pPr>
            <w:r>
              <w:rPr>
                <w:b w:val="0"/>
                <w:sz w:val="18"/>
              </w:rPr>
              <w:t>Aslan Energy Capital</w:t>
            </w:r>
          </w:p>
        </w:tc>
        <w:tc>
          <w:tcPr>
            <w:tcW w:type="dxa" w:w="1170"/>
            <w:shd w:val="clear" w:color="auto" w:fill="F2F2F2"/>
            <w:vAlign w:val="center"/>
          </w:tcPr>
          <w:p>
            <w:pPr>
              <w:jc w:val="right"/>
            </w:pPr>
            <w:r>
              <w:rPr>
                <w:b w:val="0"/>
                <w:sz w:val="18"/>
              </w:rPr>
              <w:t>Aslan DC</w:t>
            </w:r>
          </w:p>
        </w:tc>
        <w:tc>
          <w:tcPr>
            <w:tcW w:type="dxa" w:w="1170"/>
            <w:shd w:val="clear" w:color="auto" w:fill="F2F2F2"/>
            <w:vAlign w:val="center"/>
          </w:tcPr>
          <w:p>
            <w:pPr>
              <w:jc w:val="right"/>
            </w:pPr>
            <w:r>
              <w:rPr>
                <w:b w:val="0"/>
                <w:sz w:val="18"/>
              </w:rPr>
              <w:t>No</w:t>
            </w:r>
          </w:p>
        </w:tc>
        <w:tc>
          <w:tcPr>
            <w:tcW w:type="dxa" w:w="1170"/>
            <w:shd w:val="clear" w:color="auto" w:fill="F2F2F2"/>
            <w:vAlign w:val="center"/>
          </w:tcPr>
          <w:p>
            <w:pPr>
              <w:jc w:val="right"/>
            </w:pPr>
            <w:r>
              <w:rPr>
                <w:b w:val="0"/>
                <w:sz w:val="18"/>
              </w:rPr>
              <w:t>10</w:t>
            </w:r>
          </w:p>
        </w:tc>
        <w:tc>
          <w:tcPr>
            <w:tcW w:type="dxa" w:w="1170"/>
            <w:shd w:val="clear" w:color="auto" w:fill="F2F2F2"/>
            <w:vAlign w:val="center"/>
          </w:tcPr>
          <w:p>
            <w:pPr>
              <w:jc w:val="right"/>
            </w:pPr>
            <w:r>
              <w:rPr>
                <w:b w:val="0"/>
                <w:sz w:val="18"/>
              </w:rPr>
              <w:t>6.20</w:t>
            </w:r>
          </w:p>
        </w:tc>
        <w:tc>
          <w:tcPr>
            <w:tcW w:type="dxa" w:w="1170"/>
            <w:shd w:val="clear" w:color="auto" w:fill="F2F2F2"/>
            <w:vAlign w:val="center"/>
          </w:tcPr>
          <w:p>
            <w:pPr>
              <w:jc w:val="right"/>
            </w:pPr>
            <w:r>
              <w:rPr>
                <w:b w:val="0"/>
                <w:sz w:val="18"/>
              </w:rPr>
              <w:t>0.164</w:t>
            </w:r>
          </w:p>
        </w:tc>
        <w:tc>
          <w:tcPr>
            <w:tcW w:type="dxa" w:w="1170"/>
            <w:shd w:val="clear" w:color="auto" w:fill="F2F2F2"/>
            <w:vAlign w:val="center"/>
          </w:tcPr>
          <w:p>
            <w:pPr>
              <w:jc w:val="right"/>
            </w:pPr>
            <w:r>
              <w:rPr>
                <w:b w:val="0"/>
                <w:sz w:val="18"/>
              </w:rPr>
              <w:t>1.637</w:t>
            </w:r>
          </w:p>
        </w:tc>
        <w:tc>
          <w:tcPr>
            <w:tcW w:type="dxa" w:w="1170"/>
            <w:shd w:val="clear" w:color="auto" w:fill="F2F2F2"/>
            <w:vAlign w:val="center"/>
          </w:tcPr>
          <w:p>
            <w:pPr>
              <w:jc w:val="right"/>
            </w:pPr>
            <w:r>
              <w:rPr>
                <w:b w:val="0"/>
                <w:sz w:val="18"/>
              </w:rPr>
              <w:t>0.273</w:t>
            </w:r>
          </w:p>
        </w:tc>
      </w:tr>
      <w:tr>
        <w:tc>
          <w:tcPr>
            <w:tcW w:type="dxa" w:w="1170"/>
            <w:vAlign w:val="center"/>
          </w:tcPr>
          <w:p>
            <w:pPr>
              <w:jc w:val="left"/>
            </w:pPr>
            <w:r>
              <w:rPr>
                <w:b w:val="0"/>
                <w:sz w:val="18"/>
              </w:rPr>
              <w:t>DCI Indonesia</w:t>
            </w:r>
          </w:p>
        </w:tc>
        <w:tc>
          <w:tcPr>
            <w:tcW w:type="dxa" w:w="1170"/>
            <w:vAlign w:val="center"/>
          </w:tcPr>
          <w:p>
            <w:pPr>
              <w:jc w:val="right"/>
            </w:pPr>
            <w:r>
              <w:rPr>
                <w:b w:val="0"/>
                <w:sz w:val="18"/>
              </w:rPr>
              <w:t>JK5</w:t>
            </w:r>
          </w:p>
        </w:tc>
        <w:tc>
          <w:tcPr>
            <w:tcW w:type="dxa" w:w="1170"/>
            <w:vAlign w:val="center"/>
          </w:tcPr>
          <w:p>
            <w:pPr>
              <w:jc w:val="right"/>
            </w:pPr>
            <w:r>
              <w:rPr>
                <w:b w:val="0"/>
                <w:sz w:val="18"/>
              </w:rPr>
              <w:t>No</w:t>
            </w:r>
          </w:p>
        </w:tc>
        <w:tc>
          <w:tcPr>
            <w:tcW w:type="dxa" w:w="1170"/>
            <w:vAlign w:val="center"/>
          </w:tcPr>
          <w:p>
            <w:pPr>
              <w:jc w:val="right"/>
            </w:pPr>
            <w:r>
              <w:rPr>
                <w:b w:val="0"/>
                <w:sz w:val="18"/>
              </w:rPr>
              <w:t>10</w:t>
            </w:r>
          </w:p>
        </w:tc>
        <w:tc>
          <w:tcPr>
            <w:tcW w:type="dxa" w:w="1170"/>
            <w:vAlign w:val="center"/>
          </w:tcPr>
          <w:p>
            <w:pPr>
              <w:jc w:val="right"/>
            </w:pPr>
            <w:r>
              <w:rPr>
                <w:b w:val="0"/>
                <w:sz w:val="18"/>
              </w:rPr>
              <w:t>5.58</w:t>
            </w:r>
          </w:p>
        </w:tc>
        <w:tc>
          <w:tcPr>
            <w:tcW w:type="dxa" w:w="1170"/>
            <w:vAlign w:val="center"/>
          </w:tcPr>
          <w:p>
            <w:pPr>
              <w:jc w:val="right"/>
            </w:pPr>
            <w:r>
              <w:rPr>
                <w:b w:val="0"/>
                <w:sz w:val="18"/>
              </w:rPr>
              <w:t>0.147</w:t>
            </w:r>
          </w:p>
        </w:tc>
        <w:tc>
          <w:tcPr>
            <w:tcW w:type="dxa" w:w="1170"/>
            <w:vAlign w:val="center"/>
          </w:tcPr>
          <w:p>
            <w:pPr>
              <w:jc w:val="right"/>
            </w:pPr>
            <w:r>
              <w:rPr>
                <w:b w:val="0"/>
                <w:sz w:val="18"/>
              </w:rPr>
              <w:t>1.473</w:t>
            </w:r>
          </w:p>
        </w:tc>
        <w:tc>
          <w:tcPr>
            <w:tcW w:type="dxa" w:w="1170"/>
            <w:vAlign w:val="center"/>
          </w:tcPr>
          <w:p>
            <w:pPr>
              <w:jc w:val="right"/>
            </w:pPr>
            <w:r>
              <w:rPr>
                <w:b w:val="0"/>
                <w:sz w:val="18"/>
              </w:rPr>
              <w:t>0.246</w:t>
            </w:r>
          </w:p>
        </w:tc>
      </w:tr>
      <w:tr>
        <w:tc>
          <w:tcPr>
            <w:tcW w:type="dxa" w:w="1170"/>
            <w:shd w:val="clear" w:color="auto" w:fill="F2F2F2"/>
            <w:vAlign w:val="center"/>
          </w:tcPr>
          <w:p>
            <w:pPr>
              <w:jc w:val="left"/>
            </w:pPr>
            <w:r>
              <w:rPr>
                <w:b w:val="0"/>
                <w:sz w:val="18"/>
              </w:rPr>
              <w:t>DCI Indonesia</w:t>
            </w:r>
          </w:p>
        </w:tc>
        <w:tc>
          <w:tcPr>
            <w:tcW w:type="dxa" w:w="1170"/>
            <w:shd w:val="clear" w:color="auto" w:fill="F2F2F2"/>
            <w:vAlign w:val="center"/>
          </w:tcPr>
          <w:p>
            <w:pPr>
              <w:jc w:val="right"/>
            </w:pPr>
            <w:r>
              <w:rPr>
                <w:b w:val="0"/>
                <w:sz w:val="18"/>
              </w:rPr>
              <w:t>JK6</w:t>
            </w:r>
          </w:p>
        </w:tc>
        <w:tc>
          <w:tcPr>
            <w:tcW w:type="dxa" w:w="1170"/>
            <w:shd w:val="clear" w:color="auto" w:fill="F2F2F2"/>
            <w:vAlign w:val="center"/>
          </w:tcPr>
          <w:p>
            <w:pPr>
              <w:jc w:val="right"/>
            </w:pPr>
            <w:r>
              <w:rPr>
                <w:b w:val="0"/>
                <w:sz w:val="18"/>
              </w:rPr>
              <w:t>No</w:t>
            </w:r>
          </w:p>
        </w:tc>
        <w:tc>
          <w:tcPr>
            <w:tcW w:type="dxa" w:w="1170"/>
            <w:shd w:val="clear" w:color="auto" w:fill="F2F2F2"/>
            <w:vAlign w:val="center"/>
          </w:tcPr>
          <w:p>
            <w:pPr>
              <w:jc w:val="right"/>
            </w:pPr>
            <w:r>
              <w:rPr>
                <w:b w:val="0"/>
                <w:sz w:val="18"/>
              </w:rPr>
              <w:t>10</w:t>
            </w:r>
          </w:p>
        </w:tc>
        <w:tc>
          <w:tcPr>
            <w:tcW w:type="dxa" w:w="1170"/>
            <w:shd w:val="clear" w:color="auto" w:fill="F2F2F2"/>
            <w:vAlign w:val="center"/>
          </w:tcPr>
          <w:p>
            <w:pPr>
              <w:jc w:val="right"/>
            </w:pPr>
            <w:r>
              <w:rPr>
                <w:b w:val="0"/>
                <w:sz w:val="18"/>
              </w:rPr>
              <w:t>5.58</w:t>
            </w:r>
          </w:p>
        </w:tc>
        <w:tc>
          <w:tcPr>
            <w:tcW w:type="dxa" w:w="1170"/>
            <w:shd w:val="clear" w:color="auto" w:fill="F2F2F2"/>
            <w:vAlign w:val="center"/>
          </w:tcPr>
          <w:p>
            <w:pPr>
              <w:jc w:val="right"/>
            </w:pPr>
            <w:r>
              <w:rPr>
                <w:b w:val="0"/>
                <w:sz w:val="18"/>
              </w:rPr>
              <w:t>0.147</w:t>
            </w:r>
          </w:p>
        </w:tc>
        <w:tc>
          <w:tcPr>
            <w:tcW w:type="dxa" w:w="1170"/>
            <w:shd w:val="clear" w:color="auto" w:fill="F2F2F2"/>
            <w:vAlign w:val="center"/>
          </w:tcPr>
          <w:p>
            <w:pPr>
              <w:jc w:val="right"/>
            </w:pPr>
            <w:r>
              <w:rPr>
                <w:b w:val="0"/>
                <w:sz w:val="18"/>
              </w:rPr>
              <w:t>1.473</w:t>
            </w:r>
          </w:p>
        </w:tc>
        <w:tc>
          <w:tcPr>
            <w:tcW w:type="dxa" w:w="1170"/>
            <w:shd w:val="clear" w:color="auto" w:fill="F2F2F2"/>
            <w:vAlign w:val="center"/>
          </w:tcPr>
          <w:p>
            <w:pPr>
              <w:jc w:val="right"/>
            </w:pPr>
            <w:r>
              <w:rPr>
                <w:b w:val="0"/>
                <w:sz w:val="18"/>
              </w:rPr>
              <w:t>0.246</w:t>
            </w:r>
          </w:p>
        </w:tc>
      </w:tr>
      <w:tr>
        <w:tc>
          <w:tcPr>
            <w:tcW w:type="dxa" w:w="1170"/>
            <w:vAlign w:val="center"/>
          </w:tcPr>
          <w:p>
            <w:pPr>
              <w:jc w:val="left"/>
            </w:pPr>
            <w:r>
              <w:rPr>
                <w:b w:val="0"/>
                <w:sz w:val="18"/>
              </w:rPr>
              <w:t>Digital Edge (Indonet)</w:t>
            </w:r>
          </w:p>
        </w:tc>
        <w:tc>
          <w:tcPr>
            <w:tcW w:type="dxa" w:w="1170"/>
            <w:vAlign w:val="center"/>
          </w:tcPr>
          <w:p>
            <w:pPr>
              <w:jc w:val="right"/>
            </w:pPr>
            <w:r>
              <w:rPr>
                <w:b w:val="0"/>
                <w:sz w:val="18"/>
              </w:rPr>
              <w:t>EDGE2</w:t>
            </w:r>
          </w:p>
        </w:tc>
        <w:tc>
          <w:tcPr>
            <w:tcW w:type="dxa" w:w="1170"/>
            <w:vAlign w:val="center"/>
          </w:tcPr>
          <w:p>
            <w:pPr>
              <w:jc w:val="right"/>
            </w:pPr>
            <w:r>
              <w:rPr>
                <w:b w:val="0"/>
                <w:sz w:val="18"/>
              </w:rPr>
              <w:t>No</w:t>
            </w:r>
          </w:p>
        </w:tc>
        <w:tc>
          <w:tcPr>
            <w:tcW w:type="dxa" w:w="1170"/>
            <w:vAlign w:val="center"/>
          </w:tcPr>
          <w:p>
            <w:pPr>
              <w:jc w:val="right"/>
            </w:pPr>
            <w:r>
              <w:rPr>
                <w:b w:val="0"/>
                <w:sz w:val="18"/>
              </w:rPr>
              <w:t>10</w:t>
            </w:r>
          </w:p>
        </w:tc>
        <w:tc>
          <w:tcPr>
            <w:tcW w:type="dxa" w:w="1170"/>
            <w:vAlign w:val="center"/>
          </w:tcPr>
          <w:p>
            <w:pPr>
              <w:jc w:val="right"/>
            </w:pPr>
            <w:r>
              <w:rPr>
                <w:b w:val="0"/>
                <w:sz w:val="18"/>
              </w:rPr>
              <w:t>5.04</w:t>
            </w:r>
          </w:p>
        </w:tc>
        <w:tc>
          <w:tcPr>
            <w:tcW w:type="dxa" w:w="1170"/>
            <w:vAlign w:val="center"/>
          </w:tcPr>
          <w:p>
            <w:pPr>
              <w:jc w:val="right"/>
            </w:pPr>
            <w:r>
              <w:rPr>
                <w:b w:val="0"/>
                <w:sz w:val="18"/>
              </w:rPr>
              <w:t>0.133</w:t>
            </w:r>
          </w:p>
        </w:tc>
        <w:tc>
          <w:tcPr>
            <w:tcW w:type="dxa" w:w="1170"/>
            <w:vAlign w:val="center"/>
          </w:tcPr>
          <w:p>
            <w:pPr>
              <w:jc w:val="right"/>
            </w:pPr>
            <w:r>
              <w:rPr>
                <w:b w:val="0"/>
                <w:sz w:val="18"/>
              </w:rPr>
              <w:t>1.331</w:t>
            </w:r>
          </w:p>
        </w:tc>
        <w:tc>
          <w:tcPr>
            <w:tcW w:type="dxa" w:w="1170"/>
            <w:vAlign w:val="center"/>
          </w:tcPr>
          <w:p>
            <w:pPr>
              <w:jc w:val="right"/>
            </w:pPr>
            <w:r>
              <w:rPr>
                <w:b w:val="0"/>
                <w:sz w:val="18"/>
              </w:rPr>
              <w:t>0.222</w:t>
            </w:r>
          </w:p>
        </w:tc>
      </w:tr>
      <w:tr>
        <w:tc>
          <w:tcPr>
            <w:tcW w:type="dxa" w:w="1170"/>
            <w:shd w:val="clear" w:color="auto" w:fill="F2F2F2"/>
            <w:vAlign w:val="center"/>
          </w:tcPr>
          <w:p>
            <w:pPr>
              <w:jc w:val="left"/>
            </w:pPr>
            <w:r>
              <w:rPr>
                <w:b w:val="0"/>
                <w:sz w:val="18"/>
              </w:rPr>
              <w:t>DCI Indonesia</w:t>
            </w:r>
          </w:p>
        </w:tc>
        <w:tc>
          <w:tcPr>
            <w:tcW w:type="dxa" w:w="1170"/>
            <w:shd w:val="clear" w:color="auto" w:fill="F2F2F2"/>
            <w:vAlign w:val="center"/>
          </w:tcPr>
          <w:p>
            <w:pPr>
              <w:jc w:val="right"/>
            </w:pPr>
            <w:r>
              <w:rPr>
                <w:b w:val="0"/>
                <w:sz w:val="18"/>
              </w:rPr>
              <w:t>H2-02</w:t>
            </w:r>
          </w:p>
        </w:tc>
        <w:tc>
          <w:tcPr>
            <w:tcW w:type="dxa" w:w="1170"/>
            <w:shd w:val="clear" w:color="auto" w:fill="F2F2F2"/>
            <w:vAlign w:val="center"/>
          </w:tcPr>
          <w:p>
            <w:pPr>
              <w:jc w:val="right"/>
            </w:pPr>
            <w:r>
              <w:rPr>
                <w:b w:val="0"/>
                <w:sz w:val="18"/>
              </w:rPr>
              <w:t>No</w:t>
            </w:r>
          </w:p>
        </w:tc>
        <w:tc>
          <w:tcPr>
            <w:tcW w:type="dxa" w:w="1170"/>
            <w:shd w:val="clear" w:color="auto" w:fill="F2F2F2"/>
            <w:vAlign w:val="center"/>
          </w:tcPr>
          <w:p>
            <w:pPr>
              <w:jc w:val="right"/>
            </w:pPr>
            <w:r>
              <w:rPr>
                <w:b w:val="0"/>
                <w:sz w:val="18"/>
              </w:rPr>
              <w:t>7</w:t>
            </w:r>
          </w:p>
        </w:tc>
        <w:tc>
          <w:tcPr>
            <w:tcW w:type="dxa" w:w="1170"/>
            <w:shd w:val="clear" w:color="auto" w:fill="F2F2F2"/>
            <w:vAlign w:val="center"/>
          </w:tcPr>
          <w:p>
            <w:pPr>
              <w:jc w:val="right"/>
            </w:pPr>
            <w:r>
              <w:rPr>
                <w:b w:val="0"/>
                <w:sz w:val="18"/>
              </w:rPr>
              <w:t>4.65</w:t>
            </w:r>
          </w:p>
        </w:tc>
        <w:tc>
          <w:tcPr>
            <w:tcW w:type="dxa" w:w="1170"/>
            <w:shd w:val="clear" w:color="auto" w:fill="F2F2F2"/>
            <w:vAlign w:val="center"/>
          </w:tcPr>
          <w:p>
            <w:pPr>
              <w:jc w:val="right"/>
            </w:pPr>
            <w:r>
              <w:rPr>
                <w:b w:val="0"/>
                <w:sz w:val="18"/>
              </w:rPr>
              <w:t>0.123</w:t>
            </w:r>
          </w:p>
        </w:tc>
        <w:tc>
          <w:tcPr>
            <w:tcW w:type="dxa" w:w="1170"/>
            <w:shd w:val="clear" w:color="auto" w:fill="F2F2F2"/>
            <w:vAlign w:val="center"/>
          </w:tcPr>
          <w:p>
            <w:pPr>
              <w:jc w:val="right"/>
            </w:pPr>
            <w:r>
              <w:rPr>
                <w:b w:val="0"/>
                <w:sz w:val="18"/>
              </w:rPr>
              <w:t>0.859</w:t>
            </w:r>
          </w:p>
        </w:tc>
        <w:tc>
          <w:tcPr>
            <w:tcW w:type="dxa" w:w="1170"/>
            <w:shd w:val="clear" w:color="auto" w:fill="F2F2F2"/>
            <w:vAlign w:val="center"/>
          </w:tcPr>
          <w:p>
            <w:pPr>
              <w:jc w:val="right"/>
            </w:pPr>
            <w:r>
              <w:rPr>
                <w:b w:val="0"/>
                <w:sz w:val="18"/>
              </w:rPr>
              <w:t>0.205</w:t>
            </w:r>
          </w:p>
        </w:tc>
      </w:tr>
      <w:tr>
        <w:tc>
          <w:tcPr>
            <w:tcW w:type="dxa" w:w="1170"/>
            <w:vAlign w:val="center"/>
          </w:tcPr>
          <w:p>
            <w:pPr>
              <w:jc w:val="left"/>
            </w:pPr>
            <w:r>
              <w:rPr>
                <w:b w:val="0"/>
                <w:sz w:val="18"/>
              </w:rPr>
              <w:t>Korea Investment / Sinar Mas</w:t>
            </w:r>
          </w:p>
        </w:tc>
        <w:tc>
          <w:tcPr>
            <w:tcW w:type="dxa" w:w="1170"/>
            <w:vAlign w:val="center"/>
          </w:tcPr>
          <w:p>
            <w:pPr>
              <w:jc w:val="right"/>
            </w:pPr>
            <w:r>
              <w:rPr>
                <w:b w:val="0"/>
                <w:sz w:val="18"/>
              </w:rPr>
              <w:t>KMG Jakarta (AI Data)</w:t>
            </w:r>
          </w:p>
        </w:tc>
        <w:tc>
          <w:tcPr>
            <w:tcW w:type="dxa" w:w="1170"/>
            <w:vAlign w:val="center"/>
          </w:tcPr>
          <w:p>
            <w:pPr>
              <w:jc w:val="right"/>
            </w:pPr>
            <w:r>
              <w:rPr>
                <w:b w:val="0"/>
                <w:sz w:val="18"/>
              </w:rPr>
              <w:t>No</w:t>
            </w:r>
          </w:p>
        </w:tc>
        <w:tc>
          <w:tcPr>
            <w:tcW w:type="dxa" w:w="1170"/>
            <w:vAlign w:val="center"/>
          </w:tcPr>
          <w:p>
            <w:pPr>
              <w:jc w:val="right"/>
            </w:pPr>
            <w:r>
              <w:rPr>
                <w:b w:val="0"/>
                <w:sz w:val="18"/>
              </w:rPr>
              <w:t>7</w:t>
            </w:r>
          </w:p>
        </w:tc>
        <w:tc>
          <w:tcPr>
            <w:tcW w:type="dxa" w:w="1170"/>
            <w:vAlign w:val="center"/>
          </w:tcPr>
          <w:p>
            <w:pPr>
              <w:jc w:val="right"/>
            </w:pPr>
            <w:r>
              <w:rPr>
                <w:b w:val="0"/>
                <w:sz w:val="18"/>
              </w:rPr>
              <w:t>4.65</w:t>
            </w:r>
          </w:p>
        </w:tc>
        <w:tc>
          <w:tcPr>
            <w:tcW w:type="dxa" w:w="1170"/>
            <w:vAlign w:val="center"/>
          </w:tcPr>
          <w:p>
            <w:pPr>
              <w:jc w:val="right"/>
            </w:pPr>
            <w:r>
              <w:rPr>
                <w:b w:val="0"/>
                <w:sz w:val="18"/>
              </w:rPr>
              <w:t>0.123</w:t>
            </w:r>
          </w:p>
        </w:tc>
        <w:tc>
          <w:tcPr>
            <w:tcW w:type="dxa" w:w="1170"/>
            <w:vAlign w:val="center"/>
          </w:tcPr>
          <w:p>
            <w:pPr>
              <w:jc w:val="right"/>
            </w:pPr>
            <w:r>
              <w:rPr>
                <w:b w:val="0"/>
                <w:sz w:val="18"/>
              </w:rPr>
              <w:t>0.859</w:t>
            </w:r>
          </w:p>
        </w:tc>
        <w:tc>
          <w:tcPr>
            <w:tcW w:type="dxa" w:w="1170"/>
            <w:vAlign w:val="center"/>
          </w:tcPr>
          <w:p>
            <w:pPr>
              <w:jc w:val="right"/>
            </w:pPr>
            <w:r>
              <w:rPr>
                <w:b w:val="0"/>
                <w:sz w:val="18"/>
              </w:rPr>
              <w:t>0.205</w:t>
            </w:r>
          </w:p>
        </w:tc>
      </w:tr>
      <w:tr>
        <w:tc>
          <w:tcPr>
            <w:tcW w:type="dxa" w:w="1170"/>
            <w:shd w:val="clear" w:color="auto" w:fill="F2F2F2"/>
            <w:vAlign w:val="center"/>
          </w:tcPr>
          <w:p>
            <w:pPr>
              <w:jc w:val="left"/>
            </w:pPr>
            <w:r>
              <w:rPr>
                <w:b w:val="0"/>
                <w:sz w:val="18"/>
              </w:rPr>
              <w:t>BW Digital</w:t>
            </w:r>
          </w:p>
        </w:tc>
        <w:tc>
          <w:tcPr>
            <w:tcW w:type="dxa" w:w="1170"/>
            <w:shd w:val="clear" w:color="auto" w:fill="F2F2F2"/>
            <w:vAlign w:val="center"/>
          </w:tcPr>
          <w:p>
            <w:pPr>
              <w:jc w:val="right"/>
            </w:pPr>
            <w:r>
              <w:rPr>
                <w:b w:val="0"/>
                <w:sz w:val="18"/>
              </w:rPr>
              <w:t>BW DC</w:t>
            </w:r>
          </w:p>
        </w:tc>
        <w:tc>
          <w:tcPr>
            <w:tcW w:type="dxa" w:w="1170"/>
            <w:shd w:val="clear" w:color="auto" w:fill="F2F2F2"/>
            <w:vAlign w:val="center"/>
          </w:tcPr>
          <w:p>
            <w:pPr>
              <w:jc w:val="right"/>
            </w:pPr>
            <w:r>
              <w:rPr>
                <w:b w:val="0"/>
                <w:sz w:val="18"/>
              </w:rPr>
              <w:t>No</w:t>
            </w:r>
          </w:p>
        </w:tc>
        <w:tc>
          <w:tcPr>
            <w:tcW w:type="dxa" w:w="1170"/>
            <w:shd w:val="clear" w:color="auto" w:fill="F2F2F2"/>
            <w:vAlign w:val="center"/>
          </w:tcPr>
          <w:p>
            <w:pPr>
              <w:jc w:val="right"/>
            </w:pPr>
            <w:r>
              <w:rPr>
                <w:b w:val="0"/>
                <w:sz w:val="18"/>
              </w:rPr>
              <w:t>7</w:t>
            </w:r>
          </w:p>
        </w:tc>
        <w:tc>
          <w:tcPr>
            <w:tcW w:type="dxa" w:w="1170"/>
            <w:shd w:val="clear" w:color="auto" w:fill="F2F2F2"/>
            <w:vAlign w:val="center"/>
          </w:tcPr>
          <w:p>
            <w:pPr>
              <w:jc w:val="right"/>
            </w:pPr>
            <w:r>
              <w:rPr>
                <w:b w:val="0"/>
                <w:sz w:val="18"/>
              </w:rPr>
              <w:t>3.10</w:t>
            </w:r>
          </w:p>
        </w:tc>
        <w:tc>
          <w:tcPr>
            <w:tcW w:type="dxa" w:w="1170"/>
            <w:shd w:val="clear" w:color="auto" w:fill="F2F2F2"/>
            <w:vAlign w:val="center"/>
          </w:tcPr>
          <w:p>
            <w:pPr>
              <w:jc w:val="right"/>
            </w:pPr>
            <w:r>
              <w:rPr>
                <w:b w:val="0"/>
                <w:sz w:val="18"/>
              </w:rPr>
              <w:t>0.082</w:t>
            </w:r>
          </w:p>
        </w:tc>
        <w:tc>
          <w:tcPr>
            <w:tcW w:type="dxa" w:w="1170"/>
            <w:shd w:val="clear" w:color="auto" w:fill="F2F2F2"/>
            <w:vAlign w:val="center"/>
          </w:tcPr>
          <w:p>
            <w:pPr>
              <w:jc w:val="right"/>
            </w:pPr>
            <w:r>
              <w:rPr>
                <w:b w:val="0"/>
                <w:sz w:val="18"/>
              </w:rPr>
              <w:t>0.573</w:t>
            </w:r>
          </w:p>
        </w:tc>
        <w:tc>
          <w:tcPr>
            <w:tcW w:type="dxa" w:w="1170"/>
            <w:shd w:val="clear" w:color="auto" w:fill="F2F2F2"/>
            <w:vAlign w:val="center"/>
          </w:tcPr>
          <w:p>
            <w:pPr>
              <w:jc w:val="right"/>
            </w:pPr>
            <w:r>
              <w:rPr>
                <w:b w:val="0"/>
                <w:sz w:val="18"/>
              </w:rPr>
              <w:t>0.136</w:t>
            </w:r>
          </w:p>
        </w:tc>
      </w:tr>
      <w:tr>
        <w:tc>
          <w:tcPr>
            <w:tcW w:type="dxa" w:w="1170"/>
            <w:vAlign w:val="center"/>
          </w:tcPr>
          <w:p>
            <w:pPr>
              <w:jc w:val="left"/>
            </w:pPr>
            <w:r>
              <w:rPr>
                <w:b w:val="0"/>
                <w:sz w:val="18"/>
              </w:rPr>
              <w:t>DCI Indonesia</w:t>
            </w:r>
          </w:p>
        </w:tc>
        <w:tc>
          <w:tcPr>
            <w:tcW w:type="dxa" w:w="1170"/>
            <w:vAlign w:val="center"/>
          </w:tcPr>
          <w:p>
            <w:pPr>
              <w:jc w:val="right"/>
            </w:pPr>
            <w:r>
              <w:rPr>
                <w:b w:val="0"/>
                <w:sz w:val="18"/>
              </w:rPr>
              <w:t>E1 Data Center</w:t>
            </w:r>
          </w:p>
        </w:tc>
        <w:tc>
          <w:tcPr>
            <w:tcW w:type="dxa" w:w="1170"/>
            <w:vAlign w:val="center"/>
          </w:tcPr>
          <w:p>
            <w:pPr>
              <w:jc w:val="right"/>
            </w:pPr>
            <w:r>
              <w:rPr>
                <w:b w:val="0"/>
                <w:sz w:val="18"/>
              </w:rPr>
              <w:t>No</w:t>
            </w:r>
          </w:p>
        </w:tc>
        <w:tc>
          <w:tcPr>
            <w:tcW w:type="dxa" w:w="1170"/>
            <w:vAlign w:val="center"/>
          </w:tcPr>
          <w:p>
            <w:pPr>
              <w:jc w:val="right"/>
            </w:pPr>
            <w:r>
              <w:rPr>
                <w:b w:val="0"/>
                <w:sz w:val="18"/>
              </w:rPr>
              <w:t>7</w:t>
            </w:r>
          </w:p>
        </w:tc>
        <w:tc>
          <w:tcPr>
            <w:tcW w:type="dxa" w:w="1170"/>
            <w:vAlign w:val="center"/>
          </w:tcPr>
          <w:p>
            <w:pPr>
              <w:jc w:val="right"/>
            </w:pPr>
            <w:r>
              <w:rPr>
                <w:b w:val="0"/>
                <w:sz w:val="18"/>
              </w:rPr>
              <w:t>3.10</w:t>
            </w:r>
          </w:p>
        </w:tc>
        <w:tc>
          <w:tcPr>
            <w:tcW w:type="dxa" w:w="1170"/>
            <w:vAlign w:val="center"/>
          </w:tcPr>
          <w:p>
            <w:pPr>
              <w:jc w:val="right"/>
            </w:pPr>
            <w:r>
              <w:rPr>
                <w:b w:val="0"/>
                <w:sz w:val="18"/>
              </w:rPr>
              <w:t>0.082</w:t>
            </w:r>
          </w:p>
        </w:tc>
        <w:tc>
          <w:tcPr>
            <w:tcW w:type="dxa" w:w="1170"/>
            <w:vAlign w:val="center"/>
          </w:tcPr>
          <w:p>
            <w:pPr>
              <w:jc w:val="right"/>
            </w:pPr>
            <w:r>
              <w:rPr>
                <w:b w:val="0"/>
                <w:sz w:val="18"/>
              </w:rPr>
              <w:t>0.573</w:t>
            </w:r>
          </w:p>
        </w:tc>
        <w:tc>
          <w:tcPr>
            <w:tcW w:type="dxa" w:w="1170"/>
            <w:vAlign w:val="center"/>
          </w:tcPr>
          <w:p>
            <w:pPr>
              <w:jc w:val="right"/>
            </w:pPr>
            <w:r>
              <w:rPr>
                <w:b w:val="0"/>
                <w:sz w:val="18"/>
              </w:rPr>
              <w:t>0.136</w:t>
            </w:r>
          </w:p>
        </w:tc>
      </w:tr>
      <w:tr>
        <w:tc>
          <w:tcPr>
            <w:tcW w:type="dxa" w:w="1170"/>
            <w:shd w:val="clear" w:color="auto" w:fill="F2F2F2"/>
            <w:vAlign w:val="center"/>
          </w:tcPr>
          <w:p>
            <w:pPr>
              <w:jc w:val="left"/>
            </w:pPr>
            <w:r>
              <w:rPr>
                <w:b w:val="0"/>
                <w:sz w:val="18"/>
              </w:rPr>
              <w:t>Bitera (MMS Group)</w:t>
            </w:r>
          </w:p>
        </w:tc>
        <w:tc>
          <w:tcPr>
            <w:tcW w:type="dxa" w:w="1170"/>
            <w:shd w:val="clear" w:color="auto" w:fill="F2F2F2"/>
            <w:vAlign w:val="center"/>
          </w:tcPr>
          <w:p>
            <w:pPr>
              <w:jc w:val="right"/>
            </w:pPr>
            <w:r>
              <w:rPr>
                <w:b w:val="0"/>
                <w:sz w:val="18"/>
              </w:rPr>
              <w:t>Bitera Jakarta</w:t>
            </w:r>
          </w:p>
        </w:tc>
        <w:tc>
          <w:tcPr>
            <w:tcW w:type="dxa" w:w="1170"/>
            <w:shd w:val="clear" w:color="auto" w:fill="F2F2F2"/>
            <w:vAlign w:val="center"/>
          </w:tcPr>
          <w:p>
            <w:pPr>
              <w:jc w:val="right"/>
            </w:pPr>
            <w:r>
              <w:rPr>
                <w:b w:val="0"/>
                <w:sz w:val="18"/>
              </w:rPr>
              <w:t>No</w:t>
            </w:r>
          </w:p>
        </w:tc>
        <w:tc>
          <w:tcPr>
            <w:tcW w:type="dxa" w:w="1170"/>
            <w:shd w:val="clear" w:color="auto" w:fill="F2F2F2"/>
            <w:vAlign w:val="center"/>
          </w:tcPr>
          <w:p>
            <w:pPr>
              <w:jc w:val="right"/>
            </w:pPr>
            <w:r>
              <w:rPr>
                <w:b w:val="0"/>
                <w:sz w:val="18"/>
              </w:rPr>
              <w:t>7</w:t>
            </w:r>
          </w:p>
        </w:tc>
        <w:tc>
          <w:tcPr>
            <w:tcW w:type="dxa" w:w="1170"/>
            <w:shd w:val="clear" w:color="auto" w:fill="F2F2F2"/>
            <w:vAlign w:val="center"/>
          </w:tcPr>
          <w:p>
            <w:pPr>
              <w:jc w:val="right"/>
            </w:pPr>
            <w:r>
              <w:rPr>
                <w:b w:val="0"/>
                <w:sz w:val="18"/>
              </w:rPr>
              <w:t>3.10</w:t>
            </w:r>
          </w:p>
        </w:tc>
        <w:tc>
          <w:tcPr>
            <w:tcW w:type="dxa" w:w="1170"/>
            <w:shd w:val="clear" w:color="auto" w:fill="F2F2F2"/>
            <w:vAlign w:val="center"/>
          </w:tcPr>
          <w:p>
            <w:pPr>
              <w:jc w:val="right"/>
            </w:pPr>
            <w:r>
              <w:rPr>
                <w:b w:val="0"/>
                <w:sz w:val="18"/>
              </w:rPr>
              <w:t>0.082</w:t>
            </w:r>
          </w:p>
        </w:tc>
        <w:tc>
          <w:tcPr>
            <w:tcW w:type="dxa" w:w="1170"/>
            <w:shd w:val="clear" w:color="auto" w:fill="F2F2F2"/>
            <w:vAlign w:val="center"/>
          </w:tcPr>
          <w:p>
            <w:pPr>
              <w:jc w:val="right"/>
            </w:pPr>
            <w:r>
              <w:rPr>
                <w:b w:val="0"/>
                <w:sz w:val="18"/>
              </w:rPr>
              <w:t>0.573</w:t>
            </w:r>
          </w:p>
        </w:tc>
        <w:tc>
          <w:tcPr>
            <w:tcW w:type="dxa" w:w="1170"/>
            <w:shd w:val="clear" w:color="auto" w:fill="F2F2F2"/>
            <w:vAlign w:val="center"/>
          </w:tcPr>
          <w:p>
            <w:pPr>
              <w:jc w:val="right"/>
            </w:pPr>
            <w:r>
              <w:rPr>
                <w:b w:val="0"/>
                <w:sz w:val="18"/>
              </w:rPr>
              <w:t>0.136</w:t>
            </w:r>
          </w:p>
        </w:tc>
      </w:tr>
      <w:tr>
        <w:tc>
          <w:tcPr>
            <w:tcW w:type="dxa" w:w="1170"/>
            <w:vAlign w:val="center"/>
          </w:tcPr>
          <w:p>
            <w:pPr>
              <w:jc w:val="left"/>
            </w:pPr>
            <w:r>
              <w:rPr>
                <w:b w:val="0"/>
                <w:sz w:val="18"/>
              </w:rPr>
              <w:t>NTT DATA</w:t>
            </w:r>
          </w:p>
        </w:tc>
        <w:tc>
          <w:tcPr>
            <w:tcW w:type="dxa" w:w="1170"/>
            <w:vAlign w:val="center"/>
          </w:tcPr>
          <w:p>
            <w:pPr>
              <w:jc w:val="right"/>
            </w:pPr>
            <w:r>
              <w:rPr>
                <w:b w:val="0"/>
                <w:sz w:val="18"/>
              </w:rPr>
              <w:t>Jakarta 3 (JKT3)</w:t>
            </w:r>
          </w:p>
        </w:tc>
        <w:tc>
          <w:tcPr>
            <w:tcW w:type="dxa" w:w="1170"/>
            <w:vAlign w:val="center"/>
          </w:tcPr>
          <w:p>
            <w:pPr>
              <w:jc w:val="right"/>
            </w:pPr>
            <w:r>
              <w:rPr>
                <w:b w:val="0"/>
                <w:sz w:val="18"/>
              </w:rPr>
              <w:t>Yes</w:t>
            </w:r>
          </w:p>
        </w:tc>
        <w:tc>
          <w:tcPr>
            <w:tcW w:type="dxa" w:w="1170"/>
            <w:vAlign w:val="center"/>
          </w:tcPr>
          <w:p>
            <w:pPr>
              <w:jc w:val="right"/>
            </w:pPr>
            <w:r>
              <w:rPr>
                <w:b w:val="0"/>
                <w:sz w:val="18"/>
              </w:rPr>
              <w:t>10</w:t>
            </w:r>
          </w:p>
        </w:tc>
        <w:tc>
          <w:tcPr>
            <w:tcW w:type="dxa" w:w="1170"/>
            <w:vAlign w:val="center"/>
          </w:tcPr>
          <w:p>
            <w:pPr>
              <w:jc w:val="right"/>
            </w:pPr>
            <w:r>
              <w:rPr>
                <w:b w:val="0"/>
                <w:sz w:val="18"/>
              </w:rPr>
              <w:t>7.75</w:t>
            </w:r>
          </w:p>
        </w:tc>
        <w:tc>
          <w:tcPr>
            <w:tcW w:type="dxa" w:w="1170"/>
            <w:vAlign w:val="center"/>
          </w:tcPr>
          <w:p>
            <w:pPr>
              <w:jc w:val="right"/>
            </w:pPr>
            <w:r>
              <w:rPr>
                <w:b w:val="0"/>
                <w:sz w:val="18"/>
              </w:rPr>
              <w:t>0.065</w:t>
            </w:r>
          </w:p>
        </w:tc>
        <w:tc>
          <w:tcPr>
            <w:tcW w:type="dxa" w:w="1170"/>
            <w:vAlign w:val="center"/>
          </w:tcPr>
          <w:p>
            <w:pPr>
              <w:jc w:val="right"/>
            </w:pPr>
            <w:r>
              <w:rPr>
                <w:b w:val="0"/>
                <w:sz w:val="18"/>
              </w:rPr>
              <w:t>0.651</w:t>
            </w:r>
          </w:p>
        </w:tc>
        <w:tc>
          <w:tcPr>
            <w:tcW w:type="dxa" w:w="1170"/>
            <w:vAlign w:val="center"/>
          </w:tcPr>
          <w:p>
            <w:pPr>
              <w:jc w:val="right"/>
            </w:pPr>
            <w:r>
              <w:rPr>
                <w:b w:val="0"/>
                <w:sz w:val="18"/>
              </w:rPr>
              <w:t>—</w:t>
            </w:r>
          </w:p>
        </w:tc>
      </w:tr>
      <w:tr>
        <w:tc>
          <w:tcPr>
            <w:tcW w:type="dxa" w:w="1170"/>
            <w:shd w:val="clear" w:color="auto" w:fill="F2F2F2"/>
            <w:vAlign w:val="center"/>
          </w:tcPr>
          <w:p>
            <w:pPr>
              <w:jc w:val="left"/>
            </w:pPr>
            <w:r>
              <w:rPr>
                <w:b w:val="0"/>
                <w:sz w:val="18"/>
              </w:rPr>
              <w:t>Tencent</w:t>
            </w:r>
          </w:p>
        </w:tc>
        <w:tc>
          <w:tcPr>
            <w:tcW w:type="dxa" w:w="1170"/>
            <w:shd w:val="clear" w:color="auto" w:fill="F2F2F2"/>
            <w:vAlign w:val="center"/>
          </w:tcPr>
          <w:p>
            <w:pPr>
              <w:jc w:val="right"/>
            </w:pPr>
            <w:r>
              <w:rPr>
                <w:b w:val="0"/>
                <w:sz w:val="18"/>
              </w:rPr>
              <w:t>Indonesia Expansion</w:t>
            </w:r>
          </w:p>
        </w:tc>
        <w:tc>
          <w:tcPr>
            <w:tcW w:type="dxa" w:w="1170"/>
            <w:shd w:val="clear" w:color="auto" w:fill="F2F2F2"/>
            <w:vAlign w:val="center"/>
          </w:tcPr>
          <w:p>
            <w:pPr>
              <w:jc w:val="right"/>
            </w:pPr>
            <w:r>
              <w:rPr>
                <w:b w:val="0"/>
                <w:sz w:val="18"/>
              </w:rPr>
              <w:t>Yes</w:t>
            </w:r>
          </w:p>
        </w:tc>
        <w:tc>
          <w:tcPr>
            <w:tcW w:type="dxa" w:w="1170"/>
            <w:shd w:val="clear" w:color="auto" w:fill="F2F2F2"/>
            <w:vAlign w:val="center"/>
          </w:tcPr>
          <w:p>
            <w:pPr>
              <w:jc w:val="right"/>
            </w:pPr>
            <w:r>
              <w:rPr>
                <w:b w:val="0"/>
                <w:sz w:val="18"/>
              </w:rPr>
              <w:t>10</w:t>
            </w:r>
          </w:p>
        </w:tc>
        <w:tc>
          <w:tcPr>
            <w:tcW w:type="dxa" w:w="1170"/>
            <w:shd w:val="clear" w:color="auto" w:fill="F2F2F2"/>
            <w:vAlign w:val="center"/>
          </w:tcPr>
          <w:p>
            <w:pPr>
              <w:jc w:val="right"/>
            </w:pPr>
            <w:r>
              <w:rPr>
                <w:b w:val="0"/>
                <w:sz w:val="18"/>
              </w:rPr>
              <w:t>7.75</w:t>
            </w:r>
          </w:p>
        </w:tc>
        <w:tc>
          <w:tcPr>
            <w:tcW w:type="dxa" w:w="1170"/>
            <w:shd w:val="clear" w:color="auto" w:fill="F2F2F2"/>
            <w:vAlign w:val="center"/>
          </w:tcPr>
          <w:p>
            <w:pPr>
              <w:jc w:val="right"/>
            </w:pPr>
            <w:r>
              <w:rPr>
                <w:b w:val="0"/>
                <w:sz w:val="18"/>
              </w:rPr>
              <w:t>0.065</w:t>
            </w:r>
          </w:p>
        </w:tc>
        <w:tc>
          <w:tcPr>
            <w:tcW w:type="dxa" w:w="1170"/>
            <w:shd w:val="clear" w:color="auto" w:fill="F2F2F2"/>
            <w:vAlign w:val="center"/>
          </w:tcPr>
          <w:p>
            <w:pPr>
              <w:jc w:val="right"/>
            </w:pPr>
            <w:r>
              <w:rPr>
                <w:b w:val="0"/>
                <w:sz w:val="18"/>
              </w:rPr>
              <w:t>0.651</w:t>
            </w:r>
          </w:p>
        </w:tc>
        <w:tc>
          <w:tcPr>
            <w:tcW w:type="dxa" w:w="1170"/>
            <w:shd w:val="clear" w:color="auto" w:fill="F2F2F2"/>
            <w:vAlign w:val="center"/>
          </w:tcPr>
          <w:p>
            <w:pPr>
              <w:jc w:val="right"/>
            </w:pPr>
            <w:r>
              <w:rPr>
                <w:b w:val="0"/>
                <w:sz w:val="18"/>
              </w:rPr>
              <w:t>—</w:t>
            </w:r>
          </w:p>
        </w:tc>
      </w:tr>
      <w:tr>
        <w:tc>
          <w:tcPr>
            <w:tcW w:type="dxa" w:w="1170"/>
            <w:vAlign w:val="center"/>
          </w:tcPr>
          <w:p>
            <w:pPr>
              <w:jc w:val="left"/>
            </w:pPr>
            <w:r>
              <w:rPr>
                <w:b w:val="0"/>
                <w:sz w:val="18"/>
              </w:rPr>
              <w:t>K2 Strategic</w:t>
            </w:r>
          </w:p>
        </w:tc>
        <w:tc>
          <w:tcPr>
            <w:tcW w:type="dxa" w:w="1170"/>
            <w:vAlign w:val="center"/>
          </w:tcPr>
          <w:p>
            <w:pPr>
              <w:jc w:val="right"/>
            </w:pPr>
            <w:r>
              <w:rPr>
                <w:b w:val="0"/>
                <w:sz w:val="18"/>
              </w:rPr>
              <w:t>K2 Karawang Campus</w:t>
            </w:r>
          </w:p>
        </w:tc>
        <w:tc>
          <w:tcPr>
            <w:tcW w:type="dxa" w:w="1170"/>
            <w:vAlign w:val="center"/>
          </w:tcPr>
          <w:p>
            <w:pPr>
              <w:jc w:val="right"/>
            </w:pPr>
            <w:r>
              <w:rPr>
                <w:b w:val="0"/>
                <w:sz w:val="18"/>
              </w:rPr>
              <w:t>Yes</w:t>
            </w:r>
          </w:p>
        </w:tc>
        <w:tc>
          <w:tcPr>
            <w:tcW w:type="dxa" w:w="1170"/>
            <w:vAlign w:val="center"/>
          </w:tcPr>
          <w:p>
            <w:pPr>
              <w:jc w:val="right"/>
            </w:pPr>
            <w:r>
              <w:rPr>
                <w:b w:val="0"/>
                <w:sz w:val="18"/>
              </w:rPr>
              <w:t>10</w:t>
            </w:r>
          </w:p>
        </w:tc>
        <w:tc>
          <w:tcPr>
            <w:tcW w:type="dxa" w:w="1170"/>
            <w:vAlign w:val="center"/>
          </w:tcPr>
          <w:p>
            <w:pPr>
              <w:jc w:val="right"/>
            </w:pPr>
            <w:r>
              <w:rPr>
                <w:b w:val="0"/>
                <w:sz w:val="18"/>
              </w:rPr>
              <w:t>7.75</w:t>
            </w:r>
          </w:p>
        </w:tc>
        <w:tc>
          <w:tcPr>
            <w:tcW w:type="dxa" w:w="1170"/>
            <w:vAlign w:val="center"/>
          </w:tcPr>
          <w:p>
            <w:pPr>
              <w:jc w:val="right"/>
            </w:pPr>
            <w:r>
              <w:rPr>
                <w:b w:val="0"/>
                <w:sz w:val="18"/>
              </w:rPr>
              <w:t>0.065</w:t>
            </w:r>
          </w:p>
        </w:tc>
        <w:tc>
          <w:tcPr>
            <w:tcW w:type="dxa" w:w="1170"/>
            <w:vAlign w:val="center"/>
          </w:tcPr>
          <w:p>
            <w:pPr>
              <w:jc w:val="right"/>
            </w:pPr>
            <w:r>
              <w:rPr>
                <w:b w:val="0"/>
                <w:sz w:val="18"/>
              </w:rPr>
              <w:t>0.651</w:t>
            </w:r>
          </w:p>
        </w:tc>
        <w:tc>
          <w:tcPr>
            <w:tcW w:type="dxa" w:w="1170"/>
            <w:vAlign w:val="center"/>
          </w:tcPr>
          <w:p>
            <w:pPr>
              <w:jc w:val="right"/>
            </w:pPr>
            <w:r>
              <w:rPr>
                <w:b w:val="0"/>
                <w:sz w:val="18"/>
              </w:rPr>
              <w:t>—</w:t>
            </w:r>
          </w:p>
        </w:tc>
      </w:tr>
      <w:tr>
        <w:tc>
          <w:tcPr>
            <w:tcW w:type="dxa" w:w="1170"/>
            <w:shd w:val="clear" w:color="auto" w:fill="1B3A6B"/>
            <w:vAlign w:val="center"/>
          </w:tcPr>
          <w:p>
            <w:pPr>
              <w:jc w:val="left"/>
            </w:pPr>
            <w:r>
              <w:rPr>
                <w:b/>
                <w:color w:val="FFFFFF"/>
                <w:sz w:val="18"/>
              </w:rPr>
              <w:t>TOTAL (45 facilities)</w:t>
            </w:r>
          </w:p>
        </w:tc>
        <w:tc>
          <w:tcPr>
            <w:tcW w:type="dxa" w:w="1170"/>
            <w:shd w:val="clear" w:color="auto" w:fill="1B3A6B"/>
            <w:vAlign w:val="center"/>
          </w:tcPr>
          <w:p>
            <w:pPr>
              <w:jc w:val="right"/>
            </w:pPr>
            <w:r>
              <w:rPr>
                <w:b/>
                <w:color w:val="FFFFFF"/>
                <w:sz w:val="18"/>
              </w:rPr>
            </w:r>
          </w:p>
        </w:tc>
        <w:tc>
          <w:tcPr>
            <w:tcW w:type="dxa" w:w="1170"/>
            <w:shd w:val="clear" w:color="auto" w:fill="1B3A6B"/>
            <w:vAlign w:val="center"/>
          </w:tcPr>
          <w:p>
            <w:pPr>
              <w:jc w:val="right"/>
            </w:pPr>
            <w:r>
              <w:rPr>
                <w:b/>
                <w:color w:val="FFFFFF"/>
                <w:sz w:val="18"/>
              </w:rPr>
            </w:r>
          </w:p>
        </w:tc>
        <w:tc>
          <w:tcPr>
            <w:tcW w:type="dxa" w:w="1170"/>
            <w:shd w:val="clear" w:color="auto" w:fill="1B3A6B"/>
            <w:vAlign w:val="center"/>
          </w:tcPr>
          <w:p>
            <w:pPr>
              <w:jc w:val="right"/>
            </w:pPr>
            <w:r>
              <w:rPr>
                <w:b/>
                <w:color w:val="FFFFFF"/>
                <w:sz w:val="18"/>
              </w:rPr>
            </w:r>
          </w:p>
        </w:tc>
        <w:tc>
          <w:tcPr>
            <w:tcW w:type="dxa" w:w="1170"/>
            <w:shd w:val="clear" w:color="auto" w:fill="1B3A6B"/>
            <w:vAlign w:val="center"/>
          </w:tcPr>
          <w:p>
            <w:pPr>
              <w:jc w:val="right"/>
            </w:pPr>
            <w:r>
              <w:rPr>
                <w:b/>
                <w:color w:val="FFFFFF"/>
                <w:sz w:val="18"/>
              </w:rPr>
              <w:t>385.81</w:t>
            </w:r>
          </w:p>
        </w:tc>
        <w:tc>
          <w:tcPr>
            <w:tcW w:type="dxa" w:w="1170"/>
            <w:shd w:val="clear" w:color="auto" w:fill="1B3A6B"/>
            <w:vAlign w:val="center"/>
          </w:tcPr>
          <w:p>
            <w:pPr>
              <w:jc w:val="right"/>
            </w:pPr>
            <w:r>
              <w:rPr>
                <w:b/>
                <w:color w:val="FFFFFF"/>
                <w:sz w:val="18"/>
              </w:rPr>
              <w:t>7.720</w:t>
            </w:r>
          </w:p>
        </w:tc>
        <w:tc>
          <w:tcPr>
            <w:tcW w:type="dxa" w:w="1170"/>
            <w:shd w:val="clear" w:color="auto" w:fill="1B3A6B"/>
            <w:vAlign w:val="center"/>
          </w:tcPr>
          <w:p>
            <w:pPr>
              <w:jc w:val="right"/>
            </w:pPr>
            <w:r>
              <w:rPr>
                <w:b/>
                <w:color w:val="FFFFFF"/>
                <w:sz w:val="18"/>
              </w:rPr>
              <w:t>118.705</w:t>
            </w:r>
          </w:p>
        </w:tc>
        <w:tc>
          <w:tcPr>
            <w:tcW w:type="dxa" w:w="1170"/>
            <w:shd w:val="clear" w:color="auto" w:fill="1B3A6B"/>
            <w:vAlign w:val="center"/>
          </w:tcPr>
          <w:p>
            <w:pPr>
              <w:jc w:val="right"/>
            </w:pPr>
            <w:r>
              <w:rPr>
                <w:b/>
                <w:color w:val="FFFFFF"/>
                <w:sz w:val="18"/>
              </w:rPr>
              <w:t>10.977</w:t>
            </w:r>
          </w:p>
        </w:tc>
      </w:tr>
    </w:tbl>
    <w:p>
      <w:r>
        <w:rPr>
          <w:color w:val="606060"/>
          <w:sz w:val="16"/>
        </w:rPr>
        <w:t>Cum. CIT = CIT forgone over full holiday. SD = cumulative post-holiday investment allowance CIT cost (non-GMT only). Elitery/Moratelindo below IDR 100B threshold (no holiday). CIT forfeited: 22% non-GMT; 7% GMT; 11% for 50%-reduction tier.</w:t>
      </w:r>
    </w:p>
    <w:p/>
    <w:p>
      <w:pPr>
        <w:pStyle w:val="Heading2"/>
      </w:pPr>
      <w:r>
        <w:t>Appendix — Key Modelling Assumptions</w:t>
      </w:r>
    </w:p>
    <w:tbl>
      <w:tblPr>
        <w:tblStyle w:val="TableGrid"/>
        <w:tblW w:type="auto" w:w="0"/>
        <w:tblLook w:firstColumn="1" w:firstRow="1" w:lastColumn="0" w:lastRow="0" w:noHBand="0" w:noVBand="1" w:val="04A0"/>
      </w:tblPr>
      <w:tblGrid>
        <w:gridCol w:w="3120"/>
        <w:gridCol w:w="3120"/>
        <w:gridCol w:w="3120"/>
      </w:tblGrid>
      <w:tr>
        <w:tc>
          <w:tcPr>
            <w:tcW w:type="dxa" w:w="2835"/>
            <w:shd w:val="clear" w:color="auto" w:fill="1B3A6B"/>
            <w:vAlign w:val="center"/>
          </w:tcPr>
          <w:p>
            <w:pPr>
              <w:jc w:val="center"/>
            </w:pPr>
            <w:r>
              <w:rPr>
                <w:b/>
                <w:color w:val="FFFFFF"/>
                <w:sz w:val="18"/>
              </w:rPr>
              <w:t>Parameter</w:t>
            </w:r>
          </w:p>
        </w:tc>
        <w:tc>
          <w:tcPr>
            <w:tcW w:type="dxa" w:w="5669"/>
            <w:shd w:val="clear" w:color="auto" w:fill="1B3A6B"/>
            <w:vAlign w:val="center"/>
          </w:tcPr>
          <w:p>
            <w:pPr>
              <w:jc w:val="center"/>
            </w:pPr>
            <w:r>
              <w:rPr>
                <w:b/>
                <w:color w:val="FFFFFF"/>
                <w:sz w:val="18"/>
              </w:rPr>
              <w:t>Rationale</w:t>
            </w:r>
          </w:p>
        </w:tc>
        <w:tc>
          <w:tcPr>
            <w:tcW w:type="dxa" w:w="1984"/>
            <w:shd w:val="clear" w:color="auto" w:fill="1B3A6B"/>
            <w:vAlign w:val="center"/>
          </w:tcPr>
          <w:p>
            <w:pPr>
              <w:jc w:val="center"/>
            </w:pPr>
            <w:r>
              <w:rPr>
                <w:b/>
                <w:color w:val="FFFFFF"/>
                <w:sz w:val="18"/>
              </w:rPr>
              <w:t>Value</w:t>
            </w:r>
          </w:p>
        </w:tc>
      </w:tr>
      <w:tr>
        <w:tc>
          <w:tcPr>
            <w:tcW w:type="dxa" w:w="3120"/>
            <w:shd w:val="clear" w:color="auto" w:fill="F2F2F2"/>
            <w:vAlign w:val="center"/>
          </w:tcPr>
          <w:p>
            <w:pPr>
              <w:jc w:val="left"/>
            </w:pPr>
            <w:r>
              <w:rPr>
                <w:b w:val="0"/>
                <w:sz w:val="18"/>
              </w:rPr>
              <w:t>ROIC</w:t>
            </w:r>
          </w:p>
        </w:tc>
        <w:tc>
          <w:tcPr>
            <w:tcW w:type="dxa" w:w="3120"/>
            <w:shd w:val="clear" w:color="auto" w:fill="F2F2F2"/>
            <w:vAlign w:val="center"/>
          </w:tcPr>
          <w:p>
            <w:pPr>
              <w:jc w:val="left"/>
            </w:pPr>
            <w:r>
              <w:rPr>
                <w:b w:val="0"/>
                <w:sz w:val="18"/>
              </w:rPr>
              <w:t>DCI Indonesia (IDX: DCII) 2023 ROIC 14–16%; global DC sector 8–15%</w:t>
            </w:r>
          </w:p>
        </w:tc>
        <w:tc>
          <w:tcPr>
            <w:tcW w:type="dxa" w:w="3120"/>
            <w:shd w:val="clear" w:color="auto" w:fill="F2F2F2"/>
            <w:vAlign w:val="center"/>
          </w:tcPr>
          <w:p>
            <w:pPr>
              <w:jc w:val="center"/>
            </w:pPr>
            <w:r>
              <w:rPr>
                <w:b w:val="0"/>
                <w:sz w:val="18"/>
              </w:rPr>
              <w:t>12%</w:t>
            </w:r>
          </w:p>
        </w:tc>
      </w:tr>
      <w:tr>
        <w:tc>
          <w:tcPr>
            <w:tcW w:type="dxa" w:w="3120"/>
            <w:vAlign w:val="center"/>
          </w:tcPr>
          <w:p>
            <w:pPr>
              <w:jc w:val="left"/>
            </w:pPr>
            <w:r>
              <w:rPr>
                <w:b w:val="0"/>
                <w:sz w:val="18"/>
              </w:rPr>
              <w:t>Exchange rate</w:t>
            </w:r>
          </w:p>
        </w:tc>
        <w:tc>
          <w:tcPr>
            <w:tcW w:type="dxa" w:w="3120"/>
            <w:vAlign w:val="center"/>
          </w:tcPr>
          <w:p>
            <w:pPr>
              <w:jc w:val="left"/>
            </w:pPr>
            <w:r>
              <w:rPr>
                <w:b w:val="0"/>
                <w:sz w:val="18"/>
              </w:rPr>
              <w:t>Bank Indonesia 2024 annual average</w:t>
            </w:r>
          </w:p>
        </w:tc>
        <w:tc>
          <w:tcPr>
            <w:tcW w:type="dxa" w:w="3120"/>
            <w:vAlign w:val="center"/>
          </w:tcPr>
          <w:p>
            <w:pPr>
              <w:jc w:val="center"/>
            </w:pPr>
            <w:r>
              <w:rPr>
                <w:b w:val="0"/>
                <w:sz w:val="18"/>
              </w:rPr>
              <w:t>IDR 15,800/USD</w:t>
            </w:r>
          </w:p>
        </w:tc>
      </w:tr>
      <w:tr>
        <w:tc>
          <w:tcPr>
            <w:tcW w:type="dxa" w:w="3120"/>
            <w:shd w:val="clear" w:color="auto" w:fill="F2F2F2"/>
            <w:vAlign w:val="center"/>
          </w:tcPr>
          <w:p>
            <w:pPr>
              <w:jc w:val="left"/>
            </w:pPr>
            <w:r>
              <w:rPr>
                <w:b w:val="0"/>
                <w:sz w:val="18"/>
              </w:rPr>
              <w:t>Non-GMT forgone CIT</w:t>
            </w:r>
          </w:p>
        </w:tc>
        <w:tc>
          <w:tcPr>
            <w:tcW w:type="dxa" w:w="3120"/>
            <w:shd w:val="clear" w:color="auto" w:fill="F2F2F2"/>
            <w:vAlign w:val="center"/>
          </w:tcPr>
          <w:p>
            <w:pPr>
              <w:jc w:val="left"/>
            </w:pPr>
            <w:r>
              <w:rPr>
                <w:b w:val="0"/>
                <w:sz w:val="18"/>
              </w:rPr>
              <w:t>No QDMTT floor; full statutory CIT rate</w:t>
            </w:r>
          </w:p>
        </w:tc>
        <w:tc>
          <w:tcPr>
            <w:tcW w:type="dxa" w:w="3120"/>
            <w:shd w:val="clear" w:color="auto" w:fill="F2F2F2"/>
            <w:vAlign w:val="center"/>
          </w:tcPr>
          <w:p>
            <w:pPr>
              <w:jc w:val="center"/>
            </w:pPr>
            <w:r>
              <w:rPr>
                <w:b w:val="0"/>
                <w:sz w:val="18"/>
              </w:rPr>
              <w:t>22%</w:t>
            </w:r>
          </w:p>
        </w:tc>
      </w:tr>
      <w:tr>
        <w:tc>
          <w:tcPr>
            <w:tcW w:type="dxa" w:w="3120"/>
            <w:vAlign w:val="center"/>
          </w:tcPr>
          <w:p>
            <w:pPr>
              <w:jc w:val="left"/>
            </w:pPr>
            <w:r>
              <w:rPr>
                <w:b w:val="0"/>
                <w:sz w:val="18"/>
              </w:rPr>
              <w:t>GMT forgone CIT</w:t>
            </w:r>
          </w:p>
        </w:tc>
        <w:tc>
          <w:tcPr>
            <w:tcW w:type="dxa" w:w="3120"/>
            <w:vAlign w:val="center"/>
          </w:tcPr>
          <w:p>
            <w:pPr>
              <w:jc w:val="left"/>
            </w:pPr>
            <w:r>
              <w:rPr>
                <w:b w:val="0"/>
                <w:sz w:val="18"/>
              </w:rPr>
              <w:t>Net of 15% QDMTT floor (PMK-136/2024, effective 1 Jan 2025)</w:t>
            </w:r>
          </w:p>
        </w:tc>
        <w:tc>
          <w:tcPr>
            <w:tcW w:type="dxa" w:w="3120"/>
            <w:vAlign w:val="center"/>
          </w:tcPr>
          <w:p>
            <w:pPr>
              <w:jc w:val="center"/>
            </w:pPr>
            <w:r>
              <w:rPr>
                <w:b w:val="0"/>
                <w:sz w:val="18"/>
              </w:rPr>
              <w:t>7%</w:t>
            </w:r>
          </w:p>
        </w:tc>
      </w:tr>
      <w:tr>
        <w:tc>
          <w:tcPr>
            <w:tcW w:type="dxa" w:w="3120"/>
            <w:shd w:val="clear" w:color="auto" w:fill="F2F2F2"/>
            <w:vAlign w:val="center"/>
          </w:tcPr>
          <w:p>
            <w:pPr>
              <w:jc w:val="left"/>
            </w:pPr>
            <w:r>
              <w:rPr>
                <w:b w:val="0"/>
                <w:sz w:val="18"/>
              </w:rPr>
              <w:t>50%-reduction tier</w:t>
            </w:r>
          </w:p>
        </w:tc>
        <w:tc>
          <w:tcPr>
            <w:tcW w:type="dxa" w:w="3120"/>
            <w:shd w:val="clear" w:color="auto" w:fill="F2F2F2"/>
            <w:vAlign w:val="center"/>
          </w:tcPr>
          <w:p>
            <w:pPr>
              <w:jc w:val="left"/>
            </w:pPr>
            <w:r>
              <w:rPr>
                <w:b w:val="0"/>
                <w:sz w:val="18"/>
              </w:rPr>
              <w:t>IDR 100B–500B investment bracket</w:t>
            </w:r>
          </w:p>
        </w:tc>
        <w:tc>
          <w:tcPr>
            <w:tcW w:type="dxa" w:w="3120"/>
            <w:shd w:val="clear" w:color="auto" w:fill="F2F2F2"/>
            <w:vAlign w:val="center"/>
          </w:tcPr>
          <w:p>
            <w:pPr>
              <w:jc w:val="center"/>
            </w:pPr>
            <w:r>
              <w:rPr>
                <w:b w:val="0"/>
                <w:sz w:val="18"/>
              </w:rPr>
              <w:t>11%</w:t>
            </w:r>
          </w:p>
        </w:tc>
      </w:tr>
      <w:tr>
        <w:tc>
          <w:tcPr>
            <w:tcW w:type="dxa" w:w="3120"/>
            <w:vAlign w:val="center"/>
          </w:tcPr>
          <w:p>
            <w:pPr>
              <w:jc w:val="left"/>
            </w:pPr>
            <w:r>
              <w:rPr>
                <w:b w:val="0"/>
                <w:sz w:val="18"/>
              </w:rPr>
              <w:t>Holiday duration</w:t>
            </w:r>
          </w:p>
        </w:tc>
        <w:tc>
          <w:tcPr>
            <w:tcW w:type="dxa" w:w="3120"/>
            <w:vAlign w:val="center"/>
          </w:tcPr>
          <w:p>
            <w:pPr>
              <w:jc w:val="left"/>
            </w:pPr>
            <w:r>
              <w:rPr>
                <w:b w:val="0"/>
                <w:sz w:val="18"/>
              </w:rPr>
              <w:t>&lt;IDR 100B: 0 yr; 100B–500B: 5 yr; 500B–1T: 5 yr; 1T–5T: 7 yr; 5T–15T: 10 yr; 15T–30T: 15 yr; &gt;30T: 20 yr</w:t>
            </w:r>
          </w:p>
        </w:tc>
        <w:tc>
          <w:tcPr>
            <w:tcW w:type="dxa" w:w="3120"/>
            <w:vAlign w:val="center"/>
          </w:tcPr>
          <w:p>
            <w:pPr>
              <w:jc w:val="center"/>
            </w:pPr>
            <w:r>
              <w:rPr>
                <w:b w:val="0"/>
                <w:sz w:val="18"/>
              </w:rPr>
              <w:t>See tier</w:t>
            </w:r>
          </w:p>
        </w:tc>
      </w:tr>
      <w:tr>
        <w:tc>
          <w:tcPr>
            <w:tcW w:type="dxa" w:w="3120"/>
            <w:shd w:val="clear" w:color="auto" w:fill="F2F2F2"/>
            <w:vAlign w:val="center"/>
          </w:tcPr>
          <w:p>
            <w:pPr>
              <w:jc w:val="left"/>
            </w:pPr>
            <w:r>
              <w:rPr>
                <w:b w:val="0"/>
                <w:sz w:val="18"/>
              </w:rPr>
              <w:t>Investment allowance</w:t>
            </w:r>
          </w:p>
        </w:tc>
        <w:tc>
          <w:tcPr>
            <w:tcW w:type="dxa" w:w="3120"/>
            <w:shd w:val="clear" w:color="auto" w:fill="F2F2F2"/>
            <w:vAlign w:val="center"/>
          </w:tcPr>
          <w:p>
            <w:pPr>
              <w:jc w:val="left"/>
            </w:pPr>
            <w:r>
              <w:rPr>
                <w:b w:val="0"/>
                <w:sz w:val="18"/>
              </w:rPr>
              <w:t>5%/yr × 6 yr = 30% cumulative (GR 45/2019)</w:t>
            </w:r>
          </w:p>
        </w:tc>
        <w:tc>
          <w:tcPr>
            <w:tcW w:type="dxa" w:w="3120"/>
            <w:shd w:val="clear" w:color="auto" w:fill="F2F2F2"/>
            <w:vAlign w:val="center"/>
          </w:tcPr>
          <w:p>
            <w:pPr>
              <w:jc w:val="center"/>
            </w:pPr>
            <w:r>
              <w:rPr>
                <w:b w:val="0"/>
                <w:sz w:val="18"/>
              </w:rPr>
              <w:t>5%/yr</w:t>
            </w:r>
          </w:p>
        </w:tc>
      </w:tr>
      <w:tr>
        <w:tc>
          <w:tcPr>
            <w:tcW w:type="dxa" w:w="3120"/>
            <w:vAlign w:val="center"/>
          </w:tcPr>
          <w:p>
            <w:pPr>
              <w:jc w:val="left"/>
            </w:pPr>
            <w:r>
              <w:rPr>
                <w:b w:val="0"/>
                <w:sz w:val="18"/>
              </w:rPr>
              <w:t>GMT post-holiday</w:t>
            </w:r>
          </w:p>
        </w:tc>
        <w:tc>
          <w:tcPr>
            <w:tcW w:type="dxa" w:w="3120"/>
            <w:vAlign w:val="center"/>
          </w:tcPr>
          <w:p>
            <w:pPr>
              <w:jc w:val="left"/>
            </w:pPr>
            <w:r>
              <w:rPr>
                <w:b w:val="0"/>
                <w:sz w:val="18"/>
              </w:rPr>
              <w:t>QDMTT recaptures all base-erosion CIT saving</w:t>
            </w:r>
          </w:p>
        </w:tc>
        <w:tc>
          <w:tcPr>
            <w:tcW w:type="dxa" w:w="3120"/>
            <w:vAlign w:val="center"/>
          </w:tcPr>
          <w:p>
            <w:pPr>
              <w:jc w:val="center"/>
            </w:pPr>
            <w:r>
              <w:rPr>
                <w:b w:val="0"/>
                <w:sz w:val="18"/>
              </w:rPr>
              <w:t>Zero net cost</w:t>
            </w:r>
          </w:p>
        </w:tc>
      </w:tr>
      <w:tr>
        <w:tc>
          <w:tcPr>
            <w:tcW w:type="dxa" w:w="3120"/>
            <w:shd w:val="clear" w:color="auto" w:fill="F2F2F2"/>
            <w:vAlign w:val="center"/>
          </w:tcPr>
          <w:p>
            <w:pPr>
              <w:jc w:val="left"/>
            </w:pPr>
            <w:r>
              <w:rPr>
                <w:b w:val="0"/>
                <w:sz w:val="18"/>
              </w:rPr>
              <w:t>Equipment share (SEZ)</w:t>
            </w:r>
          </w:p>
        </w:tc>
        <w:tc>
          <w:tcPr>
            <w:tcW w:type="dxa" w:w="3120"/>
            <w:shd w:val="clear" w:color="auto" w:fill="F2F2F2"/>
            <w:vAlign w:val="center"/>
          </w:tcPr>
          <w:p>
            <w:pPr>
              <w:jc w:val="left"/>
            </w:pPr>
            <w:r>
              <w:rPr>
                <w:b w:val="0"/>
                <w:sz w:val="18"/>
              </w:rPr>
              <w:t>Capital equipment as share of total capex</w:t>
            </w:r>
          </w:p>
        </w:tc>
        <w:tc>
          <w:tcPr>
            <w:tcW w:type="dxa" w:w="3120"/>
            <w:shd w:val="clear" w:color="auto" w:fill="F2F2F2"/>
            <w:vAlign w:val="center"/>
          </w:tcPr>
          <w:p>
            <w:pPr>
              <w:jc w:val="center"/>
            </w:pPr>
            <w:r>
              <w:rPr>
                <w:b w:val="0"/>
                <w:sz w:val="18"/>
              </w:rPr>
              <w:t>35%</w:t>
            </w:r>
          </w:p>
        </w:tc>
      </w:tr>
      <w:tr>
        <w:tc>
          <w:tcPr>
            <w:tcW w:type="dxa" w:w="3120"/>
            <w:vAlign w:val="center"/>
          </w:tcPr>
          <w:p>
            <w:pPr>
              <w:jc w:val="left"/>
            </w:pPr>
            <w:r>
              <w:rPr>
                <w:b w:val="0"/>
                <w:sz w:val="18"/>
              </w:rPr>
              <w:t>VAT rate</w:t>
            </w:r>
          </w:p>
        </w:tc>
        <w:tc>
          <w:tcPr>
            <w:tcW w:type="dxa" w:w="3120"/>
            <w:vAlign w:val="center"/>
          </w:tcPr>
          <w:p>
            <w:pPr>
              <w:jc w:val="left"/>
            </w:pPr>
            <w:r>
              <w:rPr>
                <w:b w:val="0"/>
                <w:sz w:val="18"/>
              </w:rPr>
              <w:t>UU No. 7/2021</w:t>
            </w:r>
          </w:p>
        </w:tc>
        <w:tc>
          <w:tcPr>
            <w:tcW w:type="dxa" w:w="3120"/>
            <w:vAlign w:val="center"/>
          </w:tcPr>
          <w:p>
            <w:pPr>
              <w:jc w:val="center"/>
            </w:pPr>
            <w:r>
              <w:rPr>
                <w:b w:val="0"/>
                <w:sz w:val="18"/>
              </w:rPr>
              <w:t>11%</w:t>
            </w:r>
          </w:p>
        </w:tc>
      </w:tr>
      <w:tr>
        <w:tc>
          <w:tcPr>
            <w:tcW w:type="dxa" w:w="3120"/>
            <w:shd w:val="clear" w:color="auto" w:fill="F2F2F2"/>
            <w:vAlign w:val="center"/>
          </w:tcPr>
          <w:p>
            <w:pPr>
              <w:jc w:val="left"/>
            </w:pPr>
            <w:r>
              <w:rPr>
                <w:b w:val="0"/>
                <w:sz w:val="18"/>
              </w:rPr>
              <w:t>Import duty</w:t>
            </w:r>
          </w:p>
        </w:tc>
        <w:tc>
          <w:tcPr>
            <w:tcW w:type="dxa" w:w="3120"/>
            <w:shd w:val="clear" w:color="auto" w:fill="F2F2F2"/>
            <w:vAlign w:val="center"/>
          </w:tcPr>
          <w:p>
            <w:pPr>
              <w:jc w:val="left"/>
            </w:pPr>
            <w:r>
              <w:rPr>
                <w:b w:val="0"/>
                <w:sz w:val="18"/>
              </w:rPr>
              <w:t>Blended rate, IT and electrical equipment</w:t>
            </w:r>
          </w:p>
        </w:tc>
        <w:tc>
          <w:tcPr>
            <w:tcW w:type="dxa" w:w="3120"/>
            <w:shd w:val="clear" w:color="auto" w:fill="F2F2F2"/>
            <w:vAlign w:val="center"/>
          </w:tcPr>
          <w:p>
            <w:pPr>
              <w:jc w:val="center"/>
            </w:pPr>
            <w:r>
              <w:rPr>
                <w:b w:val="0"/>
                <w:sz w:val="18"/>
              </w:rPr>
              <w:t>2.5%</w:t>
            </w:r>
          </w:p>
        </w:tc>
      </w:tr>
      <w:tr>
        <w:tc>
          <w:tcPr>
            <w:tcW w:type="dxa" w:w="3120"/>
            <w:vAlign w:val="center"/>
          </w:tcPr>
          <w:p>
            <w:pPr>
              <w:jc w:val="left"/>
            </w:pPr>
            <w:r>
              <w:rPr>
                <w:b w:val="0"/>
                <w:sz w:val="18"/>
              </w:rPr>
              <w:t>Scenario A target</w:t>
            </w:r>
          </w:p>
        </w:tc>
        <w:tc>
          <w:tcPr>
            <w:tcW w:type="dxa" w:w="3120"/>
            <w:vAlign w:val="center"/>
          </w:tcPr>
          <w:p>
            <w:pPr>
              <w:jc w:val="left"/>
            </w:pPr>
            <w:r>
              <w:rPr>
                <w:b w:val="0"/>
                <w:sz w:val="18"/>
              </w:rPr>
              <w:t>Expansion from 526 MW baseline</w:t>
            </w:r>
          </w:p>
        </w:tc>
        <w:tc>
          <w:tcPr>
            <w:tcW w:type="dxa" w:w="3120"/>
            <w:vAlign w:val="center"/>
          </w:tcPr>
          <w:p>
            <w:pPr>
              <w:jc w:val="center"/>
            </w:pPr>
            <w:r>
              <w:rPr>
                <w:b w:val="0"/>
                <w:sz w:val="18"/>
              </w:rPr>
              <w:t>2,000 MW (+1,474 MW)</w:t>
            </w:r>
          </w:p>
        </w:tc>
      </w:tr>
      <w:tr>
        <w:tc>
          <w:tcPr>
            <w:tcW w:type="dxa" w:w="3120"/>
            <w:shd w:val="clear" w:color="auto" w:fill="F2F2F2"/>
            <w:vAlign w:val="center"/>
          </w:tcPr>
          <w:p>
            <w:pPr>
              <w:jc w:val="left"/>
            </w:pPr>
            <w:r>
              <w:rPr>
                <w:b w:val="0"/>
                <w:sz w:val="18"/>
              </w:rPr>
              <w:t>Scenario A benchmark</w:t>
            </w:r>
          </w:p>
        </w:tc>
        <w:tc>
          <w:tcPr>
            <w:tcW w:type="dxa" w:w="3120"/>
            <w:shd w:val="clear" w:color="auto" w:fill="F2F2F2"/>
            <w:vAlign w:val="center"/>
          </w:tcPr>
          <w:p>
            <w:pPr>
              <w:jc w:val="left"/>
            </w:pPr>
            <w:r>
              <w:rPr>
                <w:b w:val="0"/>
                <w:sz w:val="18"/>
              </w:rPr>
              <w:t>Blended database ratio</w:t>
            </w:r>
          </w:p>
        </w:tc>
        <w:tc>
          <w:tcPr>
            <w:tcW w:type="dxa" w:w="3120"/>
            <w:shd w:val="clear" w:color="auto" w:fill="F2F2F2"/>
            <w:vAlign w:val="center"/>
          </w:tcPr>
          <w:p>
            <w:pPr>
              <w:jc w:val="center"/>
            </w:pPr>
            <w:r>
              <w:rPr>
                <w:b w:val="0"/>
                <w:sz w:val="18"/>
              </w:rPr>
              <w:t>IDR 111B/MW</w:t>
            </w:r>
          </w:p>
        </w:tc>
      </w:tr>
      <w:tr>
        <w:tc>
          <w:tcPr>
            <w:tcW w:type="dxa" w:w="3120"/>
            <w:vAlign w:val="center"/>
          </w:tcPr>
          <w:p>
            <w:pPr>
              <w:jc w:val="left"/>
            </w:pPr>
            <w:r>
              <w:rPr>
                <w:b w:val="0"/>
                <w:sz w:val="18"/>
              </w:rPr>
              <w:t>Scenario A GMT/non-GMT</w:t>
            </w:r>
          </w:p>
        </w:tc>
        <w:tc>
          <w:tcPr>
            <w:tcW w:type="dxa" w:w="3120"/>
            <w:vAlign w:val="center"/>
          </w:tcPr>
          <w:p>
            <w:pPr>
              <w:jc w:val="left"/>
            </w:pPr>
            <w:r>
              <w:rPr>
                <w:b w:val="0"/>
                <w:sz w:val="18"/>
              </w:rPr>
              <w:t>Mirrors current database</w:t>
            </w:r>
          </w:p>
        </w:tc>
        <w:tc>
          <w:tcPr>
            <w:tcW w:type="dxa" w:w="3120"/>
            <w:vAlign w:val="center"/>
          </w:tcPr>
          <w:p>
            <w:pPr>
              <w:jc w:val="center"/>
            </w:pPr>
            <w:r>
              <w:rPr>
                <w:b w:val="0"/>
                <w:sz w:val="18"/>
              </w:rPr>
              <w:t>43%/57%</w:t>
            </w:r>
          </w:p>
        </w:tc>
      </w:tr>
      <w:tr>
        <w:tc>
          <w:tcPr>
            <w:tcW w:type="dxa" w:w="3120"/>
            <w:shd w:val="clear" w:color="auto" w:fill="F2F2F2"/>
            <w:vAlign w:val="center"/>
          </w:tcPr>
          <w:p>
            <w:pPr>
              <w:jc w:val="left"/>
            </w:pPr>
            <w:r>
              <w:rPr>
                <w:b w:val="0"/>
                <w:sz w:val="18"/>
              </w:rPr>
              <w:t>Scenario A holiday</w:t>
            </w:r>
          </w:p>
        </w:tc>
        <w:tc>
          <w:tcPr>
            <w:tcW w:type="dxa" w:w="3120"/>
            <w:shd w:val="clear" w:color="auto" w:fill="F2F2F2"/>
            <w:vAlign w:val="center"/>
          </w:tcPr>
          <w:p>
            <w:pPr>
              <w:jc w:val="left"/>
            </w:pPr>
            <w:r>
              <w:rPr>
                <w:b w:val="0"/>
                <w:sz w:val="18"/>
              </w:rPr>
              <w:t>New entrants</w:t>
            </w:r>
          </w:p>
        </w:tc>
        <w:tc>
          <w:tcPr>
            <w:tcW w:type="dxa" w:w="3120"/>
            <w:shd w:val="clear" w:color="auto" w:fill="F2F2F2"/>
            <w:vAlign w:val="center"/>
          </w:tcPr>
          <w:p>
            <w:pPr>
              <w:jc w:val="center"/>
            </w:pPr>
            <w:r>
              <w:rPr>
                <w:b w:val="0"/>
                <w:sz w:val="18"/>
              </w:rPr>
              <w:t>10 yr</w:t>
            </w:r>
          </w:p>
        </w:tc>
      </w:tr>
      <w:tr>
        <w:tc>
          <w:tcPr>
            <w:tcW w:type="dxa" w:w="3120"/>
            <w:vAlign w:val="center"/>
          </w:tcPr>
          <w:p>
            <w:pPr>
              <w:jc w:val="left"/>
            </w:pPr>
            <w:r>
              <w:rPr>
                <w:b w:val="0"/>
                <w:sz w:val="18"/>
              </w:rPr>
              <w:t>Scenario B target</w:t>
            </w:r>
          </w:p>
        </w:tc>
        <w:tc>
          <w:tcPr>
            <w:tcW w:type="dxa" w:w="3120"/>
            <w:vAlign w:val="center"/>
          </w:tcPr>
          <w:p>
            <w:pPr>
              <w:jc w:val="left"/>
            </w:pPr>
            <w:r>
              <w:rPr>
                <w:b w:val="0"/>
                <w:sz w:val="18"/>
              </w:rPr>
              <w:t>Expansion from 526 MW baseline</w:t>
            </w:r>
          </w:p>
        </w:tc>
        <w:tc>
          <w:tcPr>
            <w:tcW w:type="dxa" w:w="3120"/>
            <w:vAlign w:val="center"/>
          </w:tcPr>
          <w:p>
            <w:pPr>
              <w:jc w:val="center"/>
            </w:pPr>
            <w:r>
              <w:rPr>
                <w:b w:val="0"/>
                <w:sz w:val="18"/>
              </w:rPr>
              <w:t>3,000 MW (+2,474 MW)</w:t>
            </w:r>
          </w:p>
        </w:tc>
      </w:tr>
      <w:tr>
        <w:tc>
          <w:tcPr>
            <w:tcW w:type="dxa" w:w="3120"/>
            <w:shd w:val="clear" w:color="auto" w:fill="F2F2F2"/>
            <w:vAlign w:val="center"/>
          </w:tcPr>
          <w:p>
            <w:pPr>
              <w:jc w:val="left"/>
            </w:pPr>
            <w:r>
              <w:rPr>
                <w:b w:val="0"/>
                <w:sz w:val="18"/>
              </w:rPr>
              <w:t>Scenario B benchmark</w:t>
            </w:r>
          </w:p>
        </w:tc>
        <w:tc>
          <w:tcPr>
            <w:tcW w:type="dxa" w:w="3120"/>
            <w:shd w:val="clear" w:color="auto" w:fill="F2F2F2"/>
            <w:vAlign w:val="center"/>
          </w:tcPr>
          <w:p>
            <w:pPr>
              <w:jc w:val="left"/>
            </w:pPr>
            <w:r>
              <w:rPr>
                <w:b w:val="0"/>
                <w:sz w:val="18"/>
              </w:rPr>
              <w:t>Same as Scenario A</w:t>
            </w:r>
          </w:p>
        </w:tc>
        <w:tc>
          <w:tcPr>
            <w:tcW w:type="dxa" w:w="3120"/>
            <w:shd w:val="clear" w:color="auto" w:fill="F2F2F2"/>
            <w:vAlign w:val="center"/>
          </w:tcPr>
          <w:p>
            <w:pPr>
              <w:jc w:val="center"/>
            </w:pPr>
            <w:r>
              <w:rPr>
                <w:b w:val="0"/>
                <w:sz w:val="18"/>
              </w:rPr>
              <w:t>IDR 111B/MW</w:t>
            </w:r>
          </w:p>
        </w:tc>
      </w:tr>
      <w:tr>
        <w:tc>
          <w:tcPr>
            <w:tcW w:type="dxa" w:w="3120"/>
            <w:vAlign w:val="center"/>
          </w:tcPr>
          <w:p>
            <w:pPr>
              <w:jc w:val="left"/>
            </w:pPr>
            <w:r>
              <w:rPr>
                <w:b w:val="0"/>
                <w:sz w:val="18"/>
              </w:rPr>
              <w:t>Scenario B GMT/non-GMT</w:t>
            </w:r>
          </w:p>
        </w:tc>
        <w:tc>
          <w:tcPr>
            <w:tcW w:type="dxa" w:w="3120"/>
            <w:vAlign w:val="center"/>
          </w:tcPr>
          <w:p>
            <w:pPr>
              <w:jc w:val="left"/>
            </w:pPr>
            <w:r>
              <w:rPr>
                <w:b w:val="0"/>
                <w:sz w:val="18"/>
              </w:rPr>
              <w:t>Same as Scenario A</w:t>
            </w:r>
          </w:p>
        </w:tc>
        <w:tc>
          <w:tcPr>
            <w:tcW w:type="dxa" w:w="3120"/>
            <w:vAlign w:val="center"/>
          </w:tcPr>
          <w:p>
            <w:pPr>
              <w:jc w:val="center"/>
            </w:pPr>
            <w:r>
              <w:rPr>
                <w:b w:val="0"/>
                <w:sz w:val="18"/>
              </w:rPr>
              <w:t>43%/57%</w:t>
            </w:r>
          </w:p>
        </w:tc>
      </w:tr>
      <w:tr>
        <w:tc>
          <w:tcPr>
            <w:tcW w:type="dxa" w:w="3120"/>
            <w:shd w:val="clear" w:color="auto" w:fill="F2F2F2"/>
            <w:vAlign w:val="center"/>
          </w:tcPr>
          <w:p>
            <w:pPr>
              <w:jc w:val="left"/>
            </w:pPr>
            <w:r>
              <w:rPr>
                <w:b w:val="0"/>
                <w:sz w:val="18"/>
              </w:rPr>
              <w:t>VAT/Duty equipment share</w:t>
            </w:r>
          </w:p>
        </w:tc>
        <w:tc>
          <w:tcPr>
            <w:tcW w:type="dxa" w:w="3120"/>
            <w:shd w:val="clear" w:color="auto" w:fill="F2F2F2"/>
            <w:vAlign w:val="center"/>
          </w:tcPr>
          <w:p>
            <w:pPr>
              <w:jc w:val="left"/>
            </w:pPr>
            <w:r>
              <w:rPr>
                <w:b w:val="0"/>
                <w:sz w:val="18"/>
              </w:rPr>
              <w:t>Capital equipment as share of total capex</w:t>
            </w:r>
          </w:p>
        </w:tc>
        <w:tc>
          <w:tcPr>
            <w:tcW w:type="dxa" w:w="3120"/>
            <w:shd w:val="clear" w:color="auto" w:fill="F2F2F2"/>
            <w:vAlign w:val="center"/>
          </w:tcPr>
          <w:p>
            <w:pPr>
              <w:jc w:val="center"/>
            </w:pPr>
            <w:r>
              <w:rPr>
                <w:b w:val="0"/>
                <w:sz w:val="18"/>
              </w:rPr>
              <w:t>35%</w:t>
            </w:r>
          </w:p>
        </w:tc>
      </w:tr>
      <w:tr>
        <w:tc>
          <w:tcPr>
            <w:tcW w:type="dxa" w:w="3120"/>
            <w:vAlign w:val="center"/>
          </w:tcPr>
          <w:p>
            <w:pPr>
              <w:jc w:val="left"/>
            </w:pPr>
            <w:r>
              <w:rPr>
                <w:b w:val="0"/>
                <w:sz w:val="18"/>
              </w:rPr>
              <w:t>VAT/Duty base (A)</w:t>
            </w:r>
          </w:p>
        </w:tc>
        <w:tc>
          <w:tcPr>
            <w:tcW w:type="dxa" w:w="3120"/>
            <w:vAlign w:val="center"/>
          </w:tcPr>
          <w:p>
            <w:pPr>
              <w:jc w:val="left"/>
            </w:pPr>
            <w:r>
              <w:rPr>
                <w:b w:val="0"/>
                <w:sz w:val="18"/>
              </w:rPr>
              <w:t>35% of Scenario A investment (239.7T)</w:t>
            </w:r>
          </w:p>
        </w:tc>
        <w:tc>
          <w:tcPr>
            <w:tcW w:type="dxa" w:w="3120"/>
            <w:vAlign w:val="center"/>
          </w:tcPr>
          <w:p>
            <w:pPr>
              <w:jc w:val="center"/>
            </w:pPr>
            <w:r>
              <w:rPr>
                <w:b w:val="0"/>
                <w:sz w:val="18"/>
              </w:rPr>
              <w:t>IDR 83.9T</w:t>
            </w:r>
          </w:p>
        </w:tc>
      </w:tr>
      <w:tr>
        <w:tc>
          <w:tcPr>
            <w:tcW w:type="dxa" w:w="3120"/>
            <w:shd w:val="clear" w:color="auto" w:fill="F2F2F2"/>
            <w:vAlign w:val="center"/>
          </w:tcPr>
          <w:p>
            <w:pPr>
              <w:jc w:val="left"/>
            </w:pPr>
            <w:r>
              <w:rPr>
                <w:b w:val="0"/>
                <w:sz w:val="18"/>
              </w:rPr>
              <w:t>VAT/Duty base (B)</w:t>
            </w:r>
          </w:p>
        </w:tc>
        <w:tc>
          <w:tcPr>
            <w:tcW w:type="dxa" w:w="3120"/>
            <w:shd w:val="clear" w:color="auto" w:fill="F2F2F2"/>
            <w:vAlign w:val="center"/>
          </w:tcPr>
          <w:p>
            <w:pPr>
              <w:jc w:val="left"/>
            </w:pPr>
            <w:r>
              <w:rPr>
                <w:b w:val="0"/>
                <w:sz w:val="18"/>
              </w:rPr>
              <w:t>35% of Scenario B investment (350.7T)</w:t>
            </w:r>
          </w:p>
        </w:tc>
        <w:tc>
          <w:tcPr>
            <w:tcW w:type="dxa" w:w="3120"/>
            <w:shd w:val="clear" w:color="auto" w:fill="F2F2F2"/>
            <w:vAlign w:val="center"/>
          </w:tcPr>
          <w:p>
            <w:pPr>
              <w:jc w:val="center"/>
            </w:pPr>
            <w:r>
              <w:rPr>
                <w:b w:val="0"/>
                <w:sz w:val="18"/>
              </w:rPr>
              <w:t>IDR 122.7T</w:t>
            </w:r>
          </w:p>
        </w:tc>
      </w:tr>
      <w:tr>
        <w:tc>
          <w:tcPr>
            <w:tcW w:type="dxa" w:w="3120"/>
            <w:vAlign w:val="center"/>
          </w:tcPr>
          <w:p>
            <w:pPr>
              <w:jc w:val="left"/>
            </w:pPr>
            <w:r>
              <w:rPr>
                <w:b w:val="0"/>
                <w:sz w:val="18"/>
              </w:rPr>
              <w:t>GDP 2024</w:t>
            </w:r>
          </w:p>
        </w:tc>
        <w:tc>
          <w:tcPr>
            <w:tcW w:type="dxa" w:w="3120"/>
            <w:vAlign w:val="center"/>
          </w:tcPr>
          <w:p>
            <w:pPr>
              <w:jc w:val="left"/>
            </w:pPr>
            <w:r>
              <w:rPr>
                <w:b w:val="0"/>
                <w:sz w:val="18"/>
              </w:rPr>
              <w:t>BPS preliminary estimate</w:t>
            </w:r>
          </w:p>
        </w:tc>
        <w:tc>
          <w:tcPr>
            <w:tcW w:type="dxa" w:w="3120"/>
            <w:vAlign w:val="center"/>
          </w:tcPr>
          <w:p>
            <w:pPr>
              <w:jc w:val="center"/>
            </w:pPr>
            <w:r>
              <w:rPr>
                <w:b w:val="0"/>
                <w:sz w:val="18"/>
              </w:rPr>
              <w:t>IDR 22,139T</w:t>
            </w:r>
          </w:p>
        </w:tc>
      </w:tr>
      <w:tr>
        <w:tc>
          <w:tcPr>
            <w:tcW w:type="dxa" w:w="3120"/>
            <w:shd w:val="clear" w:color="auto" w:fill="F2F2F2"/>
            <w:vAlign w:val="center"/>
          </w:tcPr>
          <w:p>
            <w:pPr>
              <w:jc w:val="left"/>
            </w:pPr>
            <w:r>
              <w:rPr>
                <w:b w:val="0"/>
                <w:sz w:val="18"/>
              </w:rPr>
              <w:t>Education budget</w:t>
            </w:r>
          </w:p>
        </w:tc>
        <w:tc>
          <w:tcPr>
            <w:tcW w:type="dxa" w:w="3120"/>
            <w:shd w:val="clear" w:color="auto" w:fill="F2F2F2"/>
            <w:vAlign w:val="center"/>
          </w:tcPr>
          <w:p>
            <w:pPr>
              <w:jc w:val="left"/>
            </w:pPr>
            <w:r>
              <w:rPr>
                <w:b w:val="0"/>
                <w:sz w:val="18"/>
              </w:rPr>
              <w:t>APBN 2024</w:t>
            </w:r>
          </w:p>
        </w:tc>
        <w:tc>
          <w:tcPr>
            <w:tcW w:type="dxa" w:w="3120"/>
            <w:shd w:val="clear" w:color="auto" w:fill="F2F2F2"/>
            <w:vAlign w:val="center"/>
          </w:tcPr>
          <w:p>
            <w:pPr>
              <w:jc w:val="center"/>
            </w:pPr>
            <w:r>
              <w:rPr>
                <w:b w:val="0"/>
                <w:sz w:val="18"/>
              </w:rPr>
              <w:t>IDR 670T</w:t>
            </w:r>
          </w:p>
        </w:tc>
      </w:tr>
    </w:tbl>
    <w:p>
      <w:r>
        <w:rPr>
          <w:color w:val="606060"/>
          <w:sz w:val="16"/>
        </w:rPr>
        <w:t>Sensitivity: ±3 pp ROIC alters annual CIT by ≈IDR ±0.6T. ±5 pp equipment share alters SEZ costs by ≈IDR ±0.1T. Treating pre-2025 holiday years for GMT operators at full 22% raises total cost by ≈IDR 8–10T.</w:t>
      </w:r>
    </w:p>
    <w:sectPr w:rsidR="00FC693F" w:rsidRPr="0006063C" w:rsidSect="00034616">
      <w:pgSz w:w="12240" w:h="15840"/>
      <w:pgMar w:top="1417" w:right="1440" w:bottom="1417"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3A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