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MouseMES系统设计补充说明</w:t>
      </w:r>
    </w:p>
    <w:p>
      <w:r>
        <w:t>第三阶段与第四阶段实现设计  版本 3.4  2026年10月23日</w:t>
      </w:r>
    </w:p>
    <w:p>
      <w:r>
        <w:t>本说明修订原设计文档2.2.6、2.2.7及新增接口部分。代码采用Java 17、Spring Boot 3、JdbcTemplate和既有Vue 3页面，数据库保持MySQL与Redis部署方式。以下名称对应本次实际代码与增量数据表。</w:t>
      </w:r>
    </w:p>
    <w:p>
      <w:pPr>
        <w:pStyle w:val="Heading1"/>
      </w:pPr>
      <w:r>
        <w:t>一 查询路径与职责</w:t>
      </w:r>
    </w:p>
    <w:p>
      <w:r>
        <w:t>自然语言问题 → IntelligenceService解析与会话合并 → 条件白名单与角色校验 → BusinessQueryService业务查询 → 结构化结果与来源。人工表单直接进入同一个BusinessQueryService，不另设一套统计SQL。模型仅负责解析问题，数量计算始终在服务端完成。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BusinessQueryService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固定库存、缺料、追溯工具；参数绑定、日期验证、角色限制、基线核算、来源流水。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IntelligenceService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本地规则或兼容Chat Completions接口；会话所有权、版本冲突、日调用额度、Token和耗时审计。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AutomationService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报工事务中的事件落库；后台每2秒消费已提交事件；待办去重、规则开关、失败重试、检验结果回写。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FoundationService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沿用任务报工与检验规则，进度同步处采集待检事件；过程检验完成时同步待办状态。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CanonicalDashboardService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从正式mm_work_order、检验放行和库存台账统计；小时产量仅计末道工序放行，不累加所有工序报工。</w:t>
            </w:r>
          </w:p>
        </w:tc>
      </w:tr>
    </w:tbl>
    <w:p/>
    <w:p>
      <w:pPr>
        <w:pStyle w:val="Heading1"/>
      </w:pPr>
      <w:r>
        <w:t>二 前端入口</w:t>
      </w:r>
    </w:p>
    <w:p>
      <w:r>
        <w:t>/intelligence提供自然语言、人工条件核对和本人用量记录；/automation展示规则、质检待办、执行日志和安全库存建议；/dashboard新增库存与安全线。待办检验链接附带workOrder与taskId，打开制造页面后定位工序并预选过程检验模板及来源。</w:t>
      </w:r>
    </w:p>
    <w:p>
      <w:r>
        <w:br w:type="page"/>
      </w:r>
    </w:p>
    <w:p>
      <w:pPr>
        <w:pStyle w:val="Heading1"/>
      </w:pPr>
      <w:r>
        <w:t>三 数据结构与库存核算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rPr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表或约束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mm_inventory_anchor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首次迁移的基线时刻与最大流水ID，只插入一次。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mm_inventory_baseline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按物料、仓库保存基线数量，主键为二者组合。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mm_ai_session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用户、筛选条件JSON和revision；更新以旧版本为条件，防止并发覆盖。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mm_query_audit / mm_ai_budget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本人问题、条件、模式、状态、Token、耗时；用户加日期唯一额度，短事务原子预占调用次数。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mm_auto_rule / mm_auto_event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规则开关；规则与task_id唯一，最多三次执行，记录状态、错误和处理时间。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mm_qc_todo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task_id唯一、event_id唯一；WAITING、BLOCKED、DONE表示待检、待复检、已放行。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mm_replenishment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每物料唯一确认记录；建议值实时从当前库存与安全库存计算。</w:t>
            </w:r>
          </w:p>
        </w:tc>
      </w:tr>
    </w:tbl>
    <w:p/>
    <w:p>
      <w:r>
        <w:t>可信时点余额 = 基线数量 + 水位之后、查询时点之前的入库 − 同范围出库。期间入出库按created_at左闭右开统计，用户输入的结束日期转换到次日零时。早于基线的期初与期末返回null；当前数量直接读取t_inventory。库存查询处于只读事务中，以一致快照读取基线、余额和流水。</w:t>
      </w:r>
    </w:p>
    <w:p>
      <w:r>
        <w:t>原始库存流水按物料、仓库、库位和批次记录；查询汇总到物料与仓库，保留来源流水作为证据。一次最多200种物料；来源界面展示最新200条，超过限制会提示缩小条件。缺料比较全部未领料工单需求及安全库存与实际余额；指定仓库仅缩小可用量，需求仍为全部未领料工单，界面结果注明。</w:t>
      </w:r>
    </w:p>
    <w:p>
      <w:pPr>
        <w:pStyle w:val="Heading1"/>
      </w:pPr>
      <w:r>
        <w:t>四 模型适配与边界</w:t>
      </w:r>
    </w:p>
    <w:p>
      <w:r>
        <w:t>服务器变量为MES_AI_MODE、MES_AI_BASE_URL、MES_AI_MODEL、MES_AI_API_KEY。BASE_URL填写兼容接口的根地址，例如https://服务地址/v1，程序追加/chat/completions。远程请求采用JSON对象返回格式、512输出Token上限和10秒超时，只接收既定条件字段。接口不支持该协议时明确报错；不会发送业务结果表或数据库凭据给模型。</w:t>
      </w:r>
    </w:p>
    <w:p>
      <w:r>
        <w:br w:type="page"/>
      </w:r>
    </w:p>
    <w:p>
      <w:pPr>
        <w:pStyle w:val="Heading1"/>
      </w:pPr>
      <w:r>
        <w:t>五 事务事件与自动化链</w:t>
      </w:r>
    </w:p>
    <w:p>
      <w:r>
        <w:t>完整报工进入待质检状态时，在原报工事务内INSERT IGNORE写入REPORT_QC事件。事务回滚则事件同时回滚。后台按PENDING状态读取已提交事件，使用行锁与SKIP LOCKED防止多个工作线程重复消费。工序仍需检验且有有效过程模板时创建待办，再记执行成功。</w:t>
      </w:r>
    </w:p>
    <w:p>
      <w:r>
        <w:t>事件与待办分别以规则加任务、任务和事件唯一约束去重。工序已放行或不需检验时跳过，规则停用时新事件记录SKIPPED。配置缺失或写入错误产生FAILED与可读原因；人工重试前确认规则启用且attempts小于3。第三次失败后保留日志交由人工处理，系统不修改检验事实以绕过失败。</w:t>
      </w:r>
    </w:p>
    <w:p>
      <w:r>
        <w:t>检验不合格将待办置为BLOCKED，工序不能放行；复检合格在原检验事务内将待办置为DONE并保存检验ID与完成时刻。待办生成延迟取事件created_at到待办created_at的真实差值；该值不是人工检验耗时，也不能解释为产线效率提升比例。</w:t>
      </w:r>
    </w:p>
    <w:p>
      <w:pPr>
        <w:pStyle w:val="Heading1"/>
      </w:pPr>
      <w:r>
        <w:t>六 实际接口契约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rPr>
          <w:tblHeader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用途与主要返回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POST /api/ai/query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question、可选sessionId；返回sessionId、traceId、mode、conditions、clarifications、result及Token。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POST /api/analytics/query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kind及material、warehouse、product、type、from、to或document；返回同口径rows与sources。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GET /api/ai/config /history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公开脱敏配置状态；history仅显示本人最近30条审计。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GET /api/automation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rules、todos、events，日志最多200条。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POST /api/automation/rule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enabled布尔值，由生产管理岗位控制。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POST /api/automation/process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立即处理队列，用于演示或人工触发，不绕过规则校验。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POST /api/automation/retry/{id}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失败或跳过事件重试，次数与角色受限。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GET /api/automation/suggestions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实时安全库存缺口；/{id}/confirm确认，不创建采购单。</w:t>
            </w:r>
          </w:p>
        </w:tc>
      </w:tr>
    </w:tbl>
    <w:p/>
    <w:p>
      <w:r>
        <w:t>数据库脚本为04-database/stage34_intelligence.sql。迁移工具先完整备份，再执行两遍验证幂等，并核对原有业务表行数。正式迁移时先停止库存写入。回退应停止新服务并用备份恢复到独立恢复库核对；本次未执行任何覆盖式恢复。</w:t>
      </w:r>
    </w:p>
    <w:sectPr w:rsidR="00FC693F" w:rsidRPr="0006063C" w:rsidSect="00034616">
      <w:footerReference w:type="default" r:id="rId9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MouseMES  第三四阶段修订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