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MouseMES软件需求规格补充说明</w:t>
      </w:r>
    </w:p>
    <w:p>
      <w:r>
        <w:t>第三阶段与第四阶段已实现需求  版本 3.4  2026年10月23日</w:t>
      </w:r>
    </w:p>
    <w:p>
      <w:r>
        <w:t>本补充说明与原《MouseMES软件需求规格说明书》共同使用，修订原2.12节智能查询与2.13节定制功能的实现范围。本文列明本次已交付行为；原文中的设备采集、线边转移和分批发货等扩展目标不能据此宣称已经实现。</w:t>
      </w:r>
    </w:p>
    <w:p>
      <w:pPr>
        <w:pStyle w:val="Heading1"/>
      </w:pPr>
      <w:r>
        <w:t>一 业务目标和使用角色</w:t>
      </w:r>
    </w:p>
    <w:p>
      <w:r>
        <w:t>面向鼠标制造业务，用户以自然语言查询真实库存、当前缺料和工单追溯，并用相同条件的人工入口复核。生产报工提交后，系统自动创建质检待办，质检员从待办进入检测，合格后推进工序与工单进度。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483"/>
      </w:tblGrid>
      <w:tr>
        <w:trPr>
          <w:tblHeader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80" w:after="80"/>
            </w:pPr>
            <w:r>
              <w:rPr>
                <w:b/>
                <w:sz w:val="20"/>
              </w:rPr>
              <w:t>能力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80" w:after="80"/>
            </w:pPr>
            <w:r>
              <w:rPr>
                <w:b/>
                <w:sz w:val="20"/>
              </w:rPr>
              <w:t>实际行为和验收条件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REQ AI 01 查询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支持库存、缺料、工单追溯三种白名单工具。模型或本地解析器只生成条件，不执行模型生成的SQL，不负责计算库存。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REQ AI 02 准确性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库存按物料和仓库展示，逐行带单位；日期含首尾。展示当前、期初、入库、出库和期末；不能核实的余额明确留空并说明原因。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REQ AI 03 多轮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保留会话物料、产品、日期、仓库等条件；“改查上个月”覆盖时间。多匹配仓库或物料需补充精确名称，不猜测。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REQ AI 04 可复核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人工与自然语言入口调用同一业务服务；展示条件、来源流水、更新时间、查询编号。新会话可清除上下文。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REQ VIS 01 看板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小时末道放行、工单状态、质量趋势及缺陷、物料齐套、库存安全线等有效视图；看板每30秒刷新，真实日期与班次筛选。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REQ AUTO 01 自动化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完整报工且工序需检验时创建事件，提交后生成唯一待办；检验不合格保留待复检，合格关闭待办并推进进度。</w:t>
            </w:r>
          </w:p>
        </w:tc>
      </w:tr>
    </w:tbl>
    <w:p/>
    <w:p>
      <w:r>
        <w:br w:type="page"/>
      </w:r>
    </w:p>
    <w:p>
      <w:pPr>
        <w:pStyle w:val="Heading1"/>
      </w:pPr>
      <w:r>
        <w:t>二 权限和异常条件</w:t>
      </w:r>
    </w:p>
    <w:p>
      <w:r>
        <w:t>库存与缺料开放给生产、车间、仓储、采购、业务管理员和财务岗位。质检与销售岗位可做单据追溯。操作员不开放该综合查询入口。所有查询仍须登录，服务端重新校验工具权限；会话只能由创建者继续使用。</w:t>
      </w:r>
    </w:p>
    <w:p>
      <w:r>
        <w:t>规则变更由生产经理、车间负责人或业务管理员执行；质检员可处理或重试质检事件。采购员或业务管理员确认安全库存建议，确认本身不创建采购单。自动化页面每10秒刷新，人工可立即处理待执行队列。</w:t>
      </w:r>
    </w:p>
    <w:p>
      <w:pPr>
        <w:pStyle w:val="Heading1"/>
      </w:pPr>
      <w:r>
        <w:t>三 成本和模型运行模式</w:t>
      </w:r>
    </w:p>
    <w:p>
      <w:r>
        <w:t>默认采用明确标注的本地规则解析，无模型Token消耗。远程模式使用服务器环境变量设置地址、模型和密钥；密钥不进入前端和文档。每人每日最多20次远程调用，问题最多1200字，单次最大输出512 Token，接口等待最多10秒。失败调用也占次数，避免无限重试造成费用。实际输入输出Token来自接口usage，不估算金额。</w:t>
      </w:r>
    </w:p>
    <w:p>
      <w:r>
        <w:t>接口超时、非成功状态、坏格式、非白名单字段或达到调用限额时返回明确失败，不自动以本地答案冒充远程模型成功。人工条件查询仍可使用。当前没有配置真实模型服务，已完成本地查询与接口协议模拟验收，真实服务连通性须配置后验证。</w:t>
      </w:r>
    </w:p>
    <w:p>
      <w:pPr>
        <w:pStyle w:val="Heading1"/>
      </w:pPr>
      <w:r>
        <w:t>四 历史库存和业务边界</w:t>
      </w:r>
    </w:p>
    <w:p>
      <w:r>
        <w:t>增量迁移只在首次执行时保存当前库存基线和流水水位。查询时间早于基线时，期初与期末显示无法核实，已有出入库只代表已保留流水，不能证明更早数据完整。禁止倒填正式基线以制造完整历史。</w:t>
      </w:r>
    </w:p>
    <w:p>
      <w:r>
        <w:t>当前仓储业务采用整批领料、整批完工入库、整单发货。领料直接扣原料仓，不构成完整线边库存转移；分批领料、80/100部分发货以及ESP32采集未在本次完成范围内。库存图显示全部仓库当前余额，不跟随生产班次日期变化，页面已注明。</w:t>
      </w:r>
    </w:p>
    <w:p>
      <w:pPr>
        <w:pStyle w:val="Heading1"/>
      </w:pPr>
      <w:r>
        <w:t>五 验收依据</w:t>
      </w:r>
    </w:p>
    <w:p>
      <w:r>
        <w:t>最终隔离库业务与查询验收 72 项通过；自动化故障注入 6 项通过；远程协议模拟 6 项通过。另有51项已有后端单元测试及前端类型检查与构建通过。真实模型联调和教师现场随机问题不在已通过项中。验收明细见同目录JSON和《验收与答辩手册》。</w:t>
      </w:r>
    </w:p>
    <w:sectPr w:rsidR="00FC693F" w:rsidRPr="0006063C" w:rsidSect="00034616">
      <w:footerReference w:type="default" r:id="rId9"/>
      <w:pgSz w:w="11906" w:h="16838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MouseMES  第三四阶段修订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76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