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0"/>
        </w:numPr>
        <w:spacing w:before="480" w:after="0"/>
        <w:ind w:hanging="0" w:start="0"/>
        <w:rPr/>
      </w:pPr>
      <w:r>
        <w:rPr/>
        <w:t>When Enablement Narratives Backfire: Recursive Sensemaking and Modes of Adoption Response in Generative AI Implementation</w:t>
      </w:r>
    </w:p>
    <w:p>
      <w:pPr>
        <w:pStyle w:val="FirstParagraph"/>
        <w:rPr/>
      </w:pPr>
      <w:r>
        <w:rPr/>
        <w:t>Liu-Jung Lai</w:t>
      </w:r>
      <w:r>
        <w:rPr>
          <w:lang w:eastAsia="zh-TW"/>
        </w:rPr>
        <w:t xml:space="preserve"> </w:t>
      </w:r>
      <w:r>
        <w:rPr>
          <w:vertAlign w:val="superscript"/>
        </w:rPr>
        <w:t>1</w:t>
      </w:r>
      <w:r>
        <w:rPr/>
        <w:t>*</w:t>
      </w:r>
    </w:p>
    <w:p>
      <w:pPr>
        <w:pStyle w:val="BodyText"/>
        <w:rPr>
          <w:lang w:eastAsia="zh-TW"/>
        </w:rPr>
      </w:pPr>
      <w:r>
        <w:rPr>
          <w:vertAlign w:val="superscript"/>
        </w:rPr>
        <w:t>1</w:t>
      </w:r>
      <w:r>
        <w:rPr/>
        <w:t xml:space="preserve"> Department of Business Management, Chienkuo Technology University, </w:t>
      </w:r>
    </w:p>
    <w:p>
      <w:pPr>
        <w:pStyle w:val="BodyText"/>
        <w:rPr>
          <w:lang w:eastAsia="zh-TW"/>
        </w:rPr>
      </w:pPr>
      <w:r>
        <w:rPr/>
        <w:t xml:space="preserve">Changhua City, </w:t>
      </w:r>
      <w:r>
        <w:rPr>
          <w:rFonts w:cs="Arial" w:ascii="Arial" w:hAnsi="Arial"/>
          <w:color w:val="474747"/>
          <w:sz w:val="21"/>
          <w:szCs w:val="21"/>
          <w:shd w:fill="FFFFFF" w:val="clear"/>
        </w:rPr>
        <w:t>Taiwan</w:t>
      </w:r>
      <w:r>
        <w:rPr>
          <w:lang w:eastAsia="zh-TW"/>
        </w:rPr>
        <w:t>.</w:t>
      </w:r>
    </w:p>
    <w:p>
      <w:pPr>
        <w:pStyle w:val="BodyText"/>
        <w:rPr>
          <w:lang w:eastAsia="zh-TW"/>
        </w:rPr>
      </w:pPr>
      <w:r>
        <w:rPr/>
        <w:t>* Correspondence: alison.lai19830210@gmail.com. ORCID: 0009-0002-5441-3313</w:t>
      </w:r>
    </w:p>
    <w:p>
      <w:pPr>
        <w:pStyle w:val="Heading2"/>
        <w:ind w:hanging="0" w:start="0"/>
        <w:rPr/>
      </w:pPr>
      <w:r>
        <w:rPr/>
        <w:t>Abstract</w:t>
      </w:r>
    </w:p>
    <w:p>
      <w:pPr>
        <w:pStyle w:val="FirstParagraph"/>
        <w:rPr/>
      </w:pPr>
      <w:r>
        <w:rPr/>
        <w:t xml:space="preserve">When organizations implement generative artificial intelligence (AI), managers typically introduce it through enablement narratives that frame the technology as supporting employees. This conceptual paper explains why such narratives can backfire and why the same system yields divergent employee responses. It specifies two coupled mechanisms. The first, </w:t>
      </w:r>
      <w:r>
        <w:rPr>
          <w:i/>
          <w:iCs/>
        </w:rPr>
        <w:t>enablement narrative backfire</w:t>
      </w:r>
      <w:r>
        <w:rPr/>
        <w:t xml:space="preserve">, shows how—through the pragmatics of reassurance, strategic ambiguity, and efficiency discourse—an explicitly positive managerial narrative can be reversed into an employee-side reading of implementation as evidence of role substitution. The second, the </w:t>
      </w:r>
      <w:r>
        <w:rPr>
          <w:i/>
          <w:iCs/>
        </w:rPr>
        <w:t>AI-interactive role sensemaking loop</w:t>
      </w:r>
      <w:r>
        <w:rPr/>
        <w:t>, shows how employees generate their own role-relevant evidence: because the system can be queried, prompted to demonstrate role-overlapping tasks, and privately tested at low cost, appraisals are updated recursively. Backfire forms the initial frame; the loop entrenches, revises, or reverses it, shaping role threat and role opportunity appraisals. These appraisals produce not a level of adoption intention but a mode of adoption response—avoidance, compliance-only use, defensive adoption, or genuine integration. The paper contributes a mechanism of narrative reversal, a recursive cue-production account of generative AI sensemaking, and a response-mode view of adoption, relocating the explanation of divergent responses from technology evaluation to role meaning formation.</w:t>
      </w:r>
    </w:p>
    <w:p>
      <w:pPr>
        <w:pStyle w:val="BodyText"/>
        <w:rPr/>
      </w:pPr>
      <w:r>
        <w:rPr>
          <w:b/>
          <w:bCs/>
        </w:rPr>
        <w:t>Keywords:</w:t>
      </w:r>
      <w:r>
        <w:rPr/>
        <w:t xml:space="preserve"> generative AI implementation; enablement narrative backfire; role threat appraisal; sensemaking; technology adoption; employee responses to artificial intelligence</w:t>
      </w:r>
    </w:p>
    <w:p>
      <w:pPr>
        <w:pStyle w:val="Heading2"/>
        <w:ind w:hanging="0" w:start="0"/>
        <w:rPr/>
      </w:pPr>
      <w:bookmarkStart w:id="0" w:name="abstract"/>
      <w:bookmarkEnd w:id="0"/>
      <w:r>
        <w:rPr/>
        <w:t>Public Interest Statement</w:t>
      </w:r>
    </w:p>
    <w:p>
      <w:pPr>
        <w:pStyle w:val="FirstParagraph"/>
        <w:rPr/>
      </w:pPr>
      <w:r>
        <w:rPr/>
        <w:t>Many organizations introduce generative AI with reassuring messages: the technology will assist employees, not replace them. Yet employees often hear the opposite. This paper explains why well-intended “enablement” messages can backfire—reassurance itself raises the possibility of replacement, vague promises leave employees to fill in the gaps, and efficiency language can sound like code for job cuts. It also explains why responses to the same AI system differ so widely: employees can now test the technology themselves, privately asking it to perform their own tasks, and what they see feeds back into how threatened or empowered they feel. The result is not simply more or less adoption but different kinds of adoption—avoiding the tool, using it only as required, using it intensively out of fear, or genuinely integrating it into one’s role. Understanding these dynamics can help organizations communicate more honestly and implement AI more humanely.</w:t>
      </w:r>
    </w:p>
    <w:p>
      <w:pPr>
        <w:pStyle w:val="Heading1"/>
        <w:ind w:hanging="0" w:start="0"/>
        <w:rPr/>
      </w:pPr>
      <w:bookmarkStart w:id="1" w:name="public-interest-statement"/>
      <w:bookmarkStart w:id="2" w:name="X784e8f64752c469879a167cabacdda508ea6963"/>
      <w:bookmarkEnd w:id="1"/>
      <w:bookmarkEnd w:id="2"/>
      <w:r>
        <w:rPr/>
        <w:t>1. Introduction</w:t>
      </w:r>
    </w:p>
    <w:p>
      <w:pPr>
        <w:pStyle w:val="Heading2"/>
        <w:ind w:hanging="0" w:start="0"/>
        <w:rPr/>
      </w:pPr>
      <w:r>
        <w:rPr/>
        <w:t>1.1 Generative AI implementation as an interpretive problem</w:t>
      </w:r>
    </w:p>
    <w:p>
      <w:pPr>
        <w:pStyle w:val="FirstParagraph"/>
        <w:rPr/>
      </w:pPr>
      <w:r>
        <w:rPr/>
        <w:t>Organizations are increasingly implementing generative artificial intelligence (AI) to support knowledge work, improve productivity, assist decision-making, and enhance communication, analysis, and content production. In managerial discourse, generative AI is often introduced through an enablement narrative: it is presented as a tool that helps employees work more efficiently, reduces routine burdens, and allows human workers to focus on more creative, strategic, or higher-value tasks. Such narratives are understandable from a managerial perspective. Organizations need to reduce uncertainty, encourage experimentation, and persuade employees that AI implementation is intended to support rather than displace them.</w:t>
      </w:r>
    </w:p>
    <w:p>
      <w:pPr>
        <w:pStyle w:val="BodyText"/>
        <w:rPr/>
      </w:pPr>
      <w:r>
        <w:rPr/>
        <w:t>Yet positive managerial communication does not guarantee positive employee interpretation. What organizations describe as enablement may be heard by employees as substitution. What managers frame as empowerment may be interpreted as evidence that professional judgment, expertise, autonomy, or even employment itself is becoming replaceable. This interpretive gap is particularly salient in generative AI implementation because the technology does not merely automate repetitive or rule-based tasks. It can draft reports, summarize documents, generate code, analyze information, translate text, simulate professional communication, and provide recommendations. In doing so, it enters domains that many employees regard as central to their occupational identity and role value.</w:t>
      </w:r>
    </w:p>
    <w:p>
      <w:pPr>
        <w:pStyle w:val="BodyText"/>
        <w:rPr/>
      </w:pPr>
      <w:r>
        <w:rPr/>
        <w:t>This interpretive tension is not hypothetical. Two large-scale surveys—cited here as industry and polling evidence for motivation, rather than as peer-reviewed findings—illustrate it. In a Pew Research Center opinion survey of 5,273 employed U.S. adults, about half of workers (52%) reported feeling worried about the future use of AI in the workplace, roughly a third (32%) expected AI to reduce their long-term job opportunities, and only 6% expected it to create more opportunities for them (Pew Research Center, 2025). At the same time, an industry report based on a 31-country survey found that while 49% of workers worried that AI would replace their jobs, an even larger share (70%) said they would delegate as much work as possible to AI to reduce their workload (Microsoft, 2023). Employees, in other words, are simultaneously anxious about and drawn toward the very technology that organizations present as their assistant. This coexistence of replacement worry and delegation willingness suggests that employee responses to generative AI are not fixed attitudes toward the technology, but interpretations of what its implementation means—interpretations that organizational communication can shape, for better or worse.</w:t>
      </w:r>
    </w:p>
    <w:p>
      <w:pPr>
        <w:pStyle w:val="BodyText"/>
        <w:rPr/>
      </w:pPr>
      <w:r>
        <w:rPr/>
        <w:t xml:space="preserve">This paper begins from a simple but theoretically important observation: employee resistance to generative AI may emerge before meaningful use occurs. Employees may not first ask whether the technology is useful, easy to use, or technically reliable. They may first ask a more fundamental question: </w:t>
      </w:r>
      <w:r>
        <w:rPr>
          <w:i/>
          <w:iCs/>
        </w:rPr>
        <w:t>What does this technology mean for my role?</w:t>
      </w:r>
      <w:r>
        <w:rPr/>
        <w:t xml:space="preserve"> If generative AI is interpreted as a signal that the organization intends to reduce headcount, standardize professional judgment, or downgrade existing expertise, then subsequent evaluations of usefulness, ease of use, and adoption value may already be filtered through a substitution-oriented frame. Generative AI adoption is therefore not only a technology evaluation problem, but also a meaning formation problem.</w:t>
      </w:r>
    </w:p>
    <w:p>
      <w:pPr>
        <w:pStyle w:val="Heading2"/>
        <w:ind w:hanging="0" w:start="0"/>
        <w:rPr/>
      </w:pPr>
      <w:bookmarkStart w:id="3" w:name="X406f95dfce2faa1cf096b3bb4f001582461e774"/>
      <w:bookmarkEnd w:id="3"/>
      <w:r>
        <w:rPr/>
        <w:t>1.2 Two coupled mechanisms: an overview</w:t>
      </w:r>
    </w:p>
    <w:p>
      <w:pPr>
        <w:pStyle w:val="FirstParagraph"/>
        <w:rPr/>
      </w:pPr>
      <w:r>
        <w:rPr/>
        <w:t>The paper theorizes two coupled mechanisms that govern how that meaning forms and what follows from it. This section introduces the mechanisms and the constructs they require only far enough to orient the reader; full definitions and theoretical grounding are deferred to Sections 2 and 3, and are not repeated here.</w:t>
      </w:r>
    </w:p>
    <w:p>
      <w:pPr>
        <w:pStyle w:val="BodyText"/>
        <w:rPr/>
      </w:pPr>
      <w:r>
        <w:rPr/>
        <w:t xml:space="preserve">The first mechanism, </w:t>
      </w:r>
      <w:r>
        <w:rPr>
          <w:b/>
          <w:bCs/>
        </w:rPr>
        <w:t>enablement narrative backfire</w:t>
      </w:r>
      <w:r>
        <w:rPr/>
        <w:t xml:space="preserve">, explains how communication intended to frame generative AI as empowering, supportive, or developmental can instead be interpreted as evidence of role substitution, professional devaluation, or future displacement. The reversal is not merely contextual—a matter of low trust—but is pragmatically produced by identifiable properties of the message itself: marked reassurance, strategic ambiguity, euphemistic efficiency vocabulary, and word–deed inconsistency, developed in Section 2.3. Its output is the </w:t>
      </w:r>
      <w:r>
        <w:rPr>
          <w:b/>
          <w:bCs/>
        </w:rPr>
        <w:t>AI-as-substitute frame</w:t>
      </w:r>
      <w:r>
        <w:rPr/>
        <w:t>: an employee-level interpretive frame through which implementation is read as evidence that AI may replace, absorb, displace, or downgrade meaningful parts of one’s professional role. Section 2.3.6 distinguishes this frame from a general negative attitude toward AI, and Section 3.2 from the appraisals it feeds.</w:t>
      </w:r>
    </w:p>
    <w:p>
      <w:pPr>
        <w:pStyle w:val="BodyText"/>
        <w:rPr/>
      </w:pPr>
      <w:r>
        <w:rPr/>
        <w:t xml:space="preserve">The frame connects to responses through a dual pathway of appraisal. </w:t>
      </w:r>
      <w:r>
        <w:rPr>
          <w:b/>
          <w:bCs/>
        </w:rPr>
        <w:t>Role threat appraisal</w:t>
      </w:r>
      <w:r>
        <w:rPr/>
        <w:t xml:space="preserve"> is the self-referential appraisal that valued components of one’s own role—employment security, the market value of expertise, role autonomy, and occupational identity and status—are endangered. </w:t>
      </w:r>
      <w:r>
        <w:rPr>
          <w:b/>
          <w:bCs/>
        </w:rPr>
        <w:t>Role opportunity appraisal</w:t>
      </w:r>
      <w:r>
        <w:rPr/>
        <w:t xml:space="preserve"> is the appraisal that those same components can be augmented, elevated, or reinvented. Section 2.4 grounds both pathways in cognitive appraisal theory, specifies the direct antecedents of the opportunity pathway, and explains why the threat pathway is the focal risk this paper theorizes without being the only pathway; Section 3.3 specifies the components of each appraisal.</w:t>
      </w:r>
    </w:p>
    <w:p>
      <w:pPr>
        <w:pStyle w:val="BodyText"/>
        <w:rPr/>
      </w:pPr>
      <w:r>
        <w:rPr/>
        <w:t xml:space="preserve">The second mechanism, the </w:t>
      </w:r>
      <w:r>
        <w:rPr>
          <w:b/>
          <w:bCs/>
        </w:rPr>
        <w:t>AI-interactive role sensemaking loop</w:t>
      </w:r>
      <w:r>
        <w:rPr/>
        <w:t>, explains why frame formation is only the beginning of the process. Unlike earlier workplace technologies, whose meaning employees inferred indirectly by observing organizational consequences over time, generative AI supplies employees with a direct, immediate, and largely private means of generating their own role-relevant evidence: it can be queried in natural language, prompted to demonstrate tasks that overlap with one’s role, elicited for statements about its own capabilities, and tested outside managerial framing and control. Employees therefore probe the system, extract cues from what it says and does, and recursively update their appraisals—entrenching, revising, or reversing the initial frame. Section 2.5 develops the loop’s theoretical foundations and situates it within its social context.</w:t>
      </w:r>
    </w:p>
    <w:p>
      <w:pPr>
        <w:pStyle w:val="BodyText"/>
        <w:rPr/>
      </w:pPr>
      <w:r>
        <w:rPr/>
        <w:t xml:space="preserve">Appraisals issue in one of four </w:t>
      </w:r>
      <w:r>
        <w:rPr>
          <w:b/>
          <w:bCs/>
        </w:rPr>
        <w:t>modes of adoption response</w:t>
      </w:r>
      <w:r>
        <w:rPr/>
        <w:t>—avoidance, compliance-only use, defensive adoption, and genuine integration—distinguished by driver, discretion, and behavioral depth, and formalized in Section 3.4. The taxonomy’s pivotal member is defensive adoption: self-initiated, intensified use driven by role threat and aimed at remaining indispensable, often high in volume yet shallow in integration. The mode is not hypothetical: multinational survey evidence indicates that substantial shares of employees use generative AI covertly and present its output as their own, with fear of appearing replaceable among the reported motives (Gillespie et al., 2025). Role threat can thus produce avoidance, compliance-only use, or defensive adoption, depending on the employee’s secondary appraisal of coping resources; genuine integration requires the opportunity pathway or a successful reappraisal reached through the loop.</w:t>
      </w:r>
    </w:p>
    <w:p>
      <w:pPr>
        <w:pStyle w:val="BodyText"/>
        <w:rPr/>
      </w:pPr>
      <w:r>
        <w:rPr/>
        <w:t xml:space="preserve">It is the </w:t>
      </w:r>
      <w:r>
        <w:rPr>
          <w:i/>
          <w:iCs/>
        </w:rPr>
        <w:t>coupling</w:t>
      </w:r>
      <w:r>
        <w:rPr/>
        <w:t xml:space="preserve"> of the two mechanisms—an initial frame that channels which probes an employee runs, and probes that return evidence capable of entrenching or overturning that frame—that mainstream technology adoption models do not specify, and that explains why the same system produces divergent and unstable role appraisals across a workforce.</w:t>
      </w:r>
    </w:p>
    <w:p>
      <w:pPr>
        <w:pStyle w:val="Heading2"/>
        <w:ind w:hanging="0" w:start="0"/>
        <w:rPr/>
      </w:pPr>
      <w:bookmarkStart w:id="4" w:name="two-coupled-mechanisms-an-overview"/>
      <w:bookmarkEnd w:id="4"/>
      <w:r>
        <w:rPr/>
        <w:t>1.3 Positioning within technology adoption, technological frames, and AI threat research</w:t>
      </w:r>
    </w:p>
    <w:p>
      <w:pPr>
        <w:pStyle w:val="FirstParagraph"/>
        <w:rPr/>
      </w:pPr>
      <w:r>
        <w:rPr/>
        <w:t>Research on technology adoption explains acceptance through perceived usefulness, perceived ease of use, and related attribute evaluations (Davis, 1989; Venkatesh et al., 2003). These perspectives remain valuable for studying generative AI, but this paper addresses a prior interpretive process: before employees evaluate whether generative AI is useful or easy to use, they may first construct what its implementation means for their role. The argument builds on the technological frames tradition, which shows that managers and users hold divergent frames and that frame incongruence shapes implementation outcomes (Orlikowski &amp; Gash, 1994); on sensemaking research, which specifies how actors extract cues from ambiguous events and construct plausible accounts (Weick, 1995; Maitlis &amp; Christianson, 2014); and on sensegiving research, in which leaders attempt to steer others’ interpretations of change (Gioia &amp; Chittipeddi, 1991). These two traditions—technological frames and sensemaking, with its sensegiving variant—form the paper’s theoretical backbone; the further literatures introduced in Section 2 are supporting materials, each recruited for a specific mechanism component, not co-equal foundations. The paper’s move is deliberately narrow: not to integrate these literatures into a larger model, but to specify two mechanisms the backbone traditions leave unspecified. Three distinctions locate that move.</w:t>
      </w:r>
    </w:p>
    <w:p>
      <w:pPr>
        <w:pStyle w:val="BodyText"/>
        <w:rPr/>
      </w:pPr>
      <w:r>
        <w:rPr/>
        <w:t xml:space="preserve">First, the paper theorizes a </w:t>
      </w:r>
      <w:r>
        <w:rPr>
          <w:b/>
          <w:bCs/>
        </w:rPr>
        <w:t>backfire mechanism</w:t>
      </w:r>
      <w:r>
        <w:rPr/>
        <w:t xml:space="preserve"> in which the managerial frame itself becomes raw material for threat interpretation. Existing research shows that managerial and employee frames may be incongruent; less attention has been paid to the case in which an explicitly positive managerial narrative is reinterpreted as evidence of substitution. This is not merely frame incongruence; it is a reversal of intended meaning, and Section 2.3 specifies the pragmatic properties that drive it.</w:t>
      </w:r>
    </w:p>
    <w:p>
      <w:pPr>
        <w:pStyle w:val="BodyText"/>
        <w:rPr/>
      </w:pPr>
      <w:r>
        <w:rPr/>
        <w:t xml:space="preserve">Second, the paper connects this interpretive reversal to a </w:t>
      </w:r>
      <w:r>
        <w:rPr>
          <w:b/>
          <w:bCs/>
        </w:rPr>
        <w:t>dual-pathway, role-centered appraisal</w:t>
      </w:r>
      <w:r>
        <w:rPr/>
        <w:t>. Research on job insecurity, STARA awareness, algorithmic management, innovation resistance, and AI-related identity threat has shown that employees may fear automation, status loss, skill devaluation, surveillance, or reduced autonomy (Brougham &amp; Haar, 2018; Lapointe &amp; Rivard, 2005; Mirbabaie et al., 2022). The present framework defines both pathways symmetrically—each with its own components and its own formation conditions—so that the opportunity pathway is a genuine competing appraisal rather than a rhetorical counterweight. The threat pathway is the focal risk the paper explains, not the only pathway it theorizes.</w:t>
      </w:r>
    </w:p>
    <w:p>
      <w:pPr>
        <w:pStyle w:val="BodyText"/>
        <w:rPr/>
      </w:pPr>
      <w:r>
        <w:rPr/>
        <w:t xml:space="preserve">Third, the paper distinguishes between </w:t>
      </w:r>
      <w:r>
        <w:rPr>
          <w:b/>
          <w:bCs/>
        </w:rPr>
        <w:t>AI as an objective substitute</w:t>
      </w:r>
      <w:r>
        <w:rPr/>
        <w:t xml:space="preserve"> and </w:t>
      </w:r>
      <w:r>
        <w:rPr>
          <w:b/>
          <w:bCs/>
        </w:rPr>
        <w:t>AI as an interpreted substitute</w:t>
      </w:r>
      <w:r>
        <w:rPr/>
        <w:t>. Whether generative AI objectively replaces a task is not identical to whether employees interpret AI implementation as a sign of role replacement. The AI-as-substitute frame is therefore not an economic claim about technological substitution, but an interpretive claim about how employees make sense of AI implementation.</w:t>
      </w:r>
    </w:p>
    <w:p>
      <w:pPr>
        <w:pStyle w:val="Heading2"/>
        <w:ind w:hanging="0" w:start="0"/>
        <w:rPr/>
      </w:pPr>
      <w:bookmarkStart w:id="5" w:name="X3e8f806db08757fadfa64faddc1015e5786af3d"/>
      <w:bookmarkEnd w:id="5"/>
      <w:r>
        <w:rPr/>
        <w:t>1.4 Research gap, research questions, and contributions</w:t>
      </w:r>
    </w:p>
    <w:p>
      <w:pPr>
        <w:pStyle w:val="FirstParagraph"/>
        <w:rPr/>
      </w:pPr>
      <w:r>
        <w:rPr/>
        <w:t xml:space="preserve">The gap addressed here is not that prior research has ignored employee interpretation, nor that AI-related threat has never been studied; both are well established. The gap is a missing </w:t>
      </w:r>
      <w:r>
        <w:rPr>
          <w:b/>
          <w:bCs/>
        </w:rPr>
        <w:t>mechanism specification</w:t>
      </w:r>
      <w:r>
        <w:rPr/>
        <w:t>. Existing work can name the ingredients of the present problem—frame incongruence, sensegiving, job insecurity, identity threat, algorithmic awareness—but it does not specify, first, how an explicitly positive managerial narrative is pragmatically reversed into a substitution signal, and second, how generative AI’s own outputs become role-relevant cues in the interpretation of implementation. This paper specifies the first as enablement narrative backfire operating through the AI-as-substitute frame, and the second as the AI-interactive role sensemaking loop. Accordingly, the paper addresses three research questions:</w:t>
      </w:r>
    </w:p>
    <w:p>
      <w:pPr>
        <w:pStyle w:val="BodyText"/>
        <w:rPr/>
      </w:pPr>
      <w:r>
        <w:rPr>
          <w:b/>
          <w:bCs/>
        </w:rPr>
        <w:t>RQ1:</w:t>
      </w:r>
      <w:r>
        <w:rPr/>
        <w:t xml:space="preserve"> Through what pragmatic mechanisms do organizational enablement narratives become reinterpreted as substitution signals during generative AI implementation?</w:t>
      </w:r>
    </w:p>
    <w:p>
      <w:pPr>
        <w:pStyle w:val="BodyText"/>
        <w:rPr/>
      </w:pPr>
      <w:r>
        <w:rPr>
          <w:b/>
          <w:bCs/>
        </w:rPr>
        <w:t>RQ2:</w:t>
      </w:r>
      <w:r>
        <w:rPr/>
        <w:t xml:space="preserve"> How does the AI-as-substitute frame shape role threat and role opportunity appraisals, and how do these appraisals translate into distinct </w:t>
      </w:r>
      <w:r>
        <w:rPr>
          <w:i/>
          <w:iCs/>
        </w:rPr>
        <w:t>modes</w:t>
      </w:r>
      <w:r>
        <w:rPr/>
        <w:t xml:space="preserve"> of adoption response rather than a single level of adoption intention?</w:t>
      </w:r>
    </w:p>
    <w:p>
      <w:pPr>
        <w:pStyle w:val="BodyText"/>
        <w:rPr/>
      </w:pPr>
      <w:r>
        <w:rPr>
          <w:b/>
          <w:bCs/>
        </w:rPr>
        <w:t>RQ3:</w:t>
      </w:r>
      <w:r>
        <w:rPr/>
        <w:t xml:space="preserve"> How do employee–AI interactions recursively update role appraisals and adoption responses, and under what conditions—of organizational trust, secondary appraisal resources, and cue credibility—do they entrench rather than revise an initial substitution frame?</w:t>
      </w:r>
    </w:p>
    <w:p>
      <w:pPr>
        <w:pStyle w:val="BodyText"/>
        <w:rPr/>
      </w:pPr>
      <w:r>
        <w:rPr/>
        <w:t xml:space="preserve">In answering these questions, the paper makes three contributions, all resting on a single relocation: it moves the explanation of divergent employee responses upstream, from the evaluation of technological attributes to the formation of role meaning. First, it specifies </w:t>
      </w:r>
      <w:r>
        <w:rPr>
          <w:b/>
          <w:bCs/>
        </w:rPr>
        <w:t>a mechanism of narrative reversal</w:t>
      </w:r>
      <w:r>
        <w:rPr/>
        <w:t xml:space="preserve">, advancing frame and sensemaking research from </w:t>
      </w:r>
      <w:r>
        <w:rPr>
          <w:i/>
          <w:iCs/>
        </w:rPr>
        <w:t>documenting incongruence</w:t>
      </w:r>
      <w:r>
        <w:rPr/>
        <w:t xml:space="preserve"> to </w:t>
      </w:r>
      <w:r>
        <w:rPr>
          <w:i/>
          <w:iCs/>
        </w:rPr>
        <w:t>specifying reversal</w:t>
      </w:r>
      <w:r>
        <w:rPr/>
        <w:t xml:space="preserve">: how a positive managerial frame is transformed into an employee substitution frame through identifiable pragmatic properties. Second, it develops </w:t>
      </w:r>
      <w:r>
        <w:rPr>
          <w:b/>
          <w:bCs/>
        </w:rPr>
        <w:t>a recursive cue-production account of generative AI sensemaking</w:t>
      </w:r>
      <w:r>
        <w:rPr/>
        <w:t xml:space="preserve">, explaining why direct interaction with the </w:t>
      </w:r>
      <w:r>
        <w:rPr>
          <w:i/>
          <w:iCs/>
        </w:rPr>
        <w:t>same</w:t>
      </w:r>
      <w:r>
        <w:rPr/>
        <w:t xml:space="preserve"> system can intensify threat for one employee and open opportunity for another, and why role appraisals remain unstable rather than settling: the technology does not only communicate about work—it performs work-like outputs that employees appraise against their own role. Third, it offers </w:t>
      </w:r>
      <w:r>
        <w:rPr>
          <w:b/>
          <w:bCs/>
        </w:rPr>
        <w:t>a response-mode view of adoption under role appraisal</w:t>
      </w:r>
      <w:r>
        <w:rPr/>
        <w:t>, reframing the outcome of AI implementation from a quantity (how much adoption) to a kind (what kind of adoption), and specifying why role threat need not, and often does not, simply depress use. The paper’s claim to novelty rests on these three elements alone—narrative reversal, recursive cue production, and the response-mode taxonomy—and the remaining theoretical apparatus plays a supporting role in their service. These are theoretical contributions with a clear practical corollary—generative AI implementation is as much a matter of meaning management as of technical readiness or user training—but the paper develops the mechanisms rather than reducing them to communication advice.</w:t>
      </w:r>
    </w:p>
    <w:p>
      <w:pPr>
        <w:pStyle w:val="Heading2"/>
        <w:ind w:hanging="0" w:start="0"/>
        <w:rPr/>
      </w:pPr>
      <w:bookmarkStart w:id="6" w:name="X21a840cdf2952753ba0cace73cbc7d5bed1cf29"/>
      <w:bookmarkEnd w:id="6"/>
      <w:r>
        <w:rPr/>
        <w:t>1.5 Structure of the paper</w:t>
      </w:r>
    </w:p>
    <w:p>
      <w:pPr>
        <w:pStyle w:val="FirstParagraph"/>
        <w:rPr/>
      </w:pPr>
      <w:r>
        <w:rPr/>
        <w:t>Section 2 reviews the theoretical background and grounds the two mechanisms, developing the pragmatic and discourse foundations of narrative reversal alongside the enactment, cue-extraction, and cue-credibility perspectives that underpin recursive sensemaking. Section 3 develops the conceptual framework, distinguishing mechanisms from constructs, boundary conditions, and contextual antecedents, and formalizing the appraisal components and the taxonomy of adoption response modes. Section 4 presents propositions organized around the two mechanisms. Section 5 discusses theoretical contributions, boundary conditions, and directions for empirical research. Section 6 concludes.</w:t>
      </w:r>
    </w:p>
    <w:p>
      <w:pPr>
        <w:pStyle w:val="Heading1"/>
        <w:ind w:hanging="0" w:start="0"/>
        <w:rPr/>
      </w:pPr>
      <w:bookmarkStart w:id="7" w:name="structure-of-the-paper"/>
      <w:bookmarkStart w:id="8" w:name="introduction"/>
      <w:bookmarkEnd w:id="7"/>
      <w:bookmarkEnd w:id="8"/>
      <w:r>
        <w:rPr/>
        <w:t>2. Theoretical Background</w:t>
      </w:r>
    </w:p>
    <w:p>
      <w:pPr>
        <w:pStyle w:val="FirstParagraph"/>
        <w:rPr/>
      </w:pPr>
      <w:r>
        <w:rPr/>
        <w:t xml:space="preserve">This section does not attempt a comprehensive survey of the technology-adoption literature. Its purpose is narrower and load-bearing: to assemble the theoretical materials required to specify the paper’s two mechanisms. The section therefore has two mechanism-building functions. The first (Sections 2.1–2.3) develops the pragmatic and discursive foundations of </w:t>
      </w:r>
      <w:r>
        <w:rPr>
          <w:b/>
          <w:bCs/>
        </w:rPr>
        <w:t>enablement narrative backfire</w:t>
      </w:r>
      <w:r>
        <w:rPr/>
        <w:t xml:space="preserve">—the literatures that explain how a positive, reassuring managerial narrative can be pragmatically reversed into an AI-as-substitute frame. The second (Section 2.5) develops the enactment, cue-extraction, and cue-credibility foundations of the </w:t>
      </w:r>
      <w:r>
        <w:rPr>
          <w:b/>
          <w:bCs/>
        </w:rPr>
        <w:t>AI-interactive role sensemaking loop</w:t>
      </w:r>
      <w:r>
        <w:rPr/>
        <w:t xml:space="preserve">—the literatures that explain why generative AI is not merely an object of interpretation but a producer of the cues employees use to appraise their roles. Between them, Section 2.4 draws on cognitive appraisal theory to ground the dual pathway of role threat and role opportunity appraisal and to explain why the outcome of implementation is better modeled as a </w:t>
      </w:r>
      <w:r>
        <w:rPr>
          <w:i/>
          <w:iCs/>
        </w:rPr>
        <w:t>mode</w:t>
      </w:r>
      <w:r>
        <w:rPr/>
        <w:t xml:space="preserve"> of adoption response than as a </w:t>
      </w:r>
      <w:r>
        <w:rPr>
          <w:i/>
          <w:iCs/>
        </w:rPr>
        <w:t>level</w:t>
      </w:r>
      <w:r>
        <w:rPr/>
        <w:t xml:space="preserve"> of adoption intention.</w:t>
      </w:r>
    </w:p>
    <w:p>
      <w:pPr>
        <w:pStyle w:val="BodyText"/>
        <w:rPr/>
      </w:pPr>
      <w:r>
        <w:rPr/>
        <w:t xml:space="preserve">Because the section necessarily draws on several literatures, their standing should be stated at the outset. The materials are organized hierarchically, not as co-equal foundations. </w:t>
      </w:r>
      <w:r>
        <w:rPr>
          <w:b/>
          <w:bCs/>
        </w:rPr>
        <w:t>Technological frames and sensemaking (with sensegiving)</w:t>
      </w:r>
      <w:r>
        <w:rPr/>
        <w:t xml:space="preserve"> are the paper’s backbone theories: the framework is an extension of their account of how technology implementation is interpreted. </w:t>
      </w:r>
      <w:r>
        <w:rPr>
          <w:b/>
          <w:bCs/>
        </w:rPr>
        <w:t>Cognitive appraisal theory, extended by protection motivation theory</w:t>
      </w:r>
      <w:r>
        <w:rPr/>
        <w:t>, is the bridge that converts an interpretive frame into a differentiated response. Everything else—Gricean implicature, strategic ambiguity, euphemistic discourse, behavioral integrity and psychological contract research, automation anxiety and STARA awareness, the computers-are-social-actors paradigm, the machine heuristic, the automation–augmentation duality, and job crafting—is supporting material, recruited only for the specific mechanism component each supplies and dispensable from the framework’s identity. Throughout, the review accordingly privileges depth over breadth: rather than cataloguing what employees fear, each supporting literature is developed only insofar as it contributes a component of one of the two mechanisms.</w:t>
      </w:r>
    </w:p>
    <w:p>
      <w:pPr>
        <w:pStyle w:val="Heading2"/>
        <w:ind w:hanging="0" w:start="0"/>
        <w:rPr/>
      </w:pPr>
      <w:r>
        <w:rPr/>
        <w:t>2.1 Technology adoption and the limits of an evaluation-centered account</w:t>
      </w:r>
    </w:p>
    <w:p>
      <w:pPr>
        <w:pStyle w:val="FirstParagraph"/>
        <w:rPr/>
      </w:pPr>
      <w:r>
        <w:rPr/>
        <w:t>Research on individual technology acceptance has provided the dominant vocabulary for explaining why people adopt or reject new systems. The technology acceptance model (Davis, 1989) proposes that perceived usefulness and perceived ease of use drive intention to use, and the unified theory of acceptance and use of technology (Venkatesh et al., 2003) consolidates the field around performance expectancy, effort expectancy, social influence, and facilitating conditions. These frameworks remain productive for studying generative AI, and the present paper does not dispute their predictive value. It does, however, question a scope condition they share. Adoption models treat the user as an individual who evaluates a technology’s attributes against a frame of reference that is taken as already fixed. They presuppose that the user has answered a prior question—</w:t>
      </w:r>
      <w:r>
        <w:rPr>
          <w:i/>
          <w:iCs/>
        </w:rPr>
        <w:t>what is this technology, and what does it mean for me?</w:t>
      </w:r>
      <w:r>
        <w:rPr/>
        <w:t>—and then rates the technology’s usefulness and ease of use in light of that settled understanding.</w:t>
      </w:r>
    </w:p>
    <w:p>
      <w:pPr>
        <w:pStyle w:val="BodyText"/>
        <w:rPr/>
      </w:pPr>
      <w:r>
        <w:rPr/>
        <w:t xml:space="preserve">In generative AI implementation, that prior question is precisely what is unsettled, and two features of the technology make it consequential. First, generative AI’s outputs overlap with the identity-central tasks of knowledge work—drafting, analysis, summarization, coding, advising—so its “usefulness” is double-edged. A system that is highly useful at an employee’s core tasks is, by that very fact, evidence that those tasks can be accomplished without the employee. This inverts a foundational assumption of adoption research: where usefulness is normally an adoption-promoting attribute, here high perceived usefulness can be the specific stimulus that raises role threat. Second, implementation is an organizational event, not merely the arrival of a tool; it carries meanings about managerial intent, about the future value of expertise, and about who the organization believes it will need. Mainstream adoption models are not aimed at specifying how these meanings form; they take the user’s interpretive frame of reference as given rather than as an outcome to be explained. That scope choice becomes consequential in generative AI implementation, where an account resting on usefulness alone can misread the very cases in which usefulness is being read as replaceability. This is why the paper locates an interpretive, meaning-formation process </w:t>
      </w:r>
      <w:r>
        <w:rPr>
          <w:i/>
          <w:iCs/>
        </w:rPr>
        <w:t>upstream</w:t>
      </w:r>
      <w:r>
        <w:rPr/>
        <w:t xml:space="preserve"> of attribute evaluation, and why it turns to the technological frames and sensemaking traditions to characterize that process.</w:t>
      </w:r>
    </w:p>
    <w:p>
      <w:pPr>
        <w:pStyle w:val="Heading2"/>
        <w:ind w:hanging="0" w:start="0"/>
        <w:rPr/>
      </w:pPr>
      <w:bookmarkStart w:id="9" w:name="Xa4cd068b40570d73d63232d39f57ff021beaa17"/>
      <w:bookmarkEnd w:id="9"/>
      <w:r>
        <w:rPr/>
        <w:t>2.2 Technological frames, sensemaking, and sensegiving: the interpretive lens and what it leaves unspecified</w:t>
      </w:r>
    </w:p>
    <w:p>
      <w:pPr>
        <w:pStyle w:val="FirstParagraph"/>
        <w:rPr/>
      </w:pPr>
      <w:r>
        <w:rPr/>
        <w:t xml:space="preserve">The technological frames perspective establishes that technology does not carry a single, self-evident meaning. Orlikowski and Gash (1994) define technological frames as the assumptions, expectations, and knowledge that organizational members use to make sense of a technology, and show that different groups—managers, technologists, users—hold different frames, such that frame incongruence shapes implementation outcomes. Sensemaking research specifies the process by which such frames operate. Weick (1995) characterizes sensemaking as the retrospective, social, and ongoing activity through which actors bracket cues from an equivocal flow of experience and elaborate them into </w:t>
      </w:r>
      <w:r>
        <w:rPr>
          <w:i/>
          <w:iCs/>
        </w:rPr>
        <w:t>plausible</w:t>
      </w:r>
      <w:r>
        <w:rPr/>
        <w:t xml:space="preserve"> rather than necessarily accurate accounts that guide action. Maitlis and Christianson (2014) consolidate the field, emphasizing that sensemaking is triggered by ambiguity and uncertainty—conditions acute during organizational change—and that cue extraction and plausibility are its central operations. Gioia and Chittipeddi (1991) add the complementary process of sensegiving, in which leaders attempt to influence others’ sensemaking toward a preferred redefinition of reality, so that sensemaking and sensegiving unfold reciprocally during strategic change.</w:t>
      </w:r>
    </w:p>
    <w:p>
      <w:pPr>
        <w:pStyle w:val="BodyText"/>
        <w:rPr/>
      </w:pPr>
      <w:r>
        <w:rPr/>
        <w:t xml:space="preserve">These traditions supply three premises the present paper relies on: interpretation of a technology is variable and consequential; it proceeds by extracting cues and constructing plausible accounts; and management actively attempts to steer it. Yet they leave two matters unspecified that generative AI implementation makes central, and the remainder of this section is organized around supplying them. First, frame research documents </w:t>
      </w:r>
      <w:r>
        <w:rPr>
          <w:i/>
          <w:iCs/>
        </w:rPr>
        <w:t>incongruence</w:t>
      </w:r>
      <w:r>
        <w:rPr/>
        <w:t xml:space="preserve">—that managerial and employee frames differ—but not the </w:t>
      </w:r>
      <w:r>
        <w:rPr>
          <w:i/>
          <w:iCs/>
        </w:rPr>
        <w:t>reversal</w:t>
      </w:r>
      <w:r>
        <w:rPr/>
        <w:t xml:space="preserve"> of an explicitly positive managerial frame into its opposite; and sensegiving research theorizes the </w:t>
      </w:r>
      <w:r>
        <w:rPr>
          <w:i/>
          <w:iCs/>
        </w:rPr>
        <w:t>attempt</w:t>
      </w:r>
      <w:r>
        <w:rPr/>
        <w:t xml:space="preserve"> to steer interpretation, not the conditions under which the steering message itself becomes counter-evidence. Second, sensemaking research treats the technology largely as an object </w:t>
      </w:r>
      <w:r>
        <w:rPr>
          <w:i/>
          <w:iCs/>
        </w:rPr>
        <w:t>about which</w:t>
      </w:r>
      <w:r>
        <w:rPr/>
        <w:t xml:space="preserve"> sense is made and, in its sensegiving variant, treats managers as the source of framing cues; it does not treat the technology’s </w:t>
      </w:r>
      <w:r>
        <w:rPr>
          <w:i/>
          <w:iCs/>
        </w:rPr>
        <w:t>own outputs</w:t>
      </w:r>
      <w:r>
        <w:rPr/>
        <w:t xml:space="preserve"> as a source of the cues that employees extract. Section 2.3 supplies the first; Section 2.5 supplies the second; and Section 2.4 provides the appraisal bridge that connects a reversed frame to a differentiated response.</w:t>
      </w:r>
    </w:p>
    <w:p>
      <w:pPr>
        <w:pStyle w:val="Heading2"/>
        <w:ind w:hanging="0" w:start="0"/>
        <w:rPr/>
      </w:pPr>
      <w:bookmarkStart w:id="10" w:name="Xd97d6277e44afe22207bdde9f20c37562dc355f"/>
      <w:bookmarkEnd w:id="10"/>
      <w:r>
        <w:rPr/>
        <w:t>2.3 The pragmatic and discursive foundations of enablement narrative backfire</w:t>
      </w:r>
    </w:p>
    <w:p>
      <w:pPr>
        <w:pStyle w:val="FirstParagraph"/>
        <w:rPr/>
      </w:pPr>
      <w:r>
        <w:rPr/>
        <w:t xml:space="preserve">The reversal at the center of the paper’s first mechanism is not primarily a matter of employees misunderstanding an otherwise clear message. It is a matter of how meaning is </w:t>
      </w:r>
      <w:r>
        <w:rPr>
          <w:i/>
          <w:iCs/>
        </w:rPr>
        <w:t>pragmatically produced</w:t>
      </w:r>
      <w:r>
        <w:rPr/>
        <w:t>: what a message communicates in context is not exhausted by what it semantically states. Five literatures, taken together, specify why an enablement message—processed under role uncertainty—can be reversed into a substitution signal. The point of assembling them is not to show that employees have many reasons to be anxious, but to show that they jointly constitute a reversal mechanism.</w:t>
      </w:r>
    </w:p>
    <w:p>
      <w:pPr>
        <w:pStyle w:val="Heading3"/>
        <w:ind w:hanging="0" w:start="0"/>
        <w:rPr/>
      </w:pPr>
      <w:r>
        <w:rPr/>
        <w:t>2.3.1 Reassurance, implicature, and the innuendo effect</w:t>
      </w:r>
    </w:p>
    <w:p>
      <w:pPr>
        <w:pStyle w:val="FirstParagraph"/>
        <w:rPr/>
      </w:pPr>
      <w:r>
        <w:rPr/>
        <w:t xml:space="preserve">Gricean pragmatics distinguishes what is </w:t>
      </w:r>
      <w:r>
        <w:rPr>
          <w:i/>
          <w:iCs/>
        </w:rPr>
        <w:t>said</w:t>
      </w:r>
      <w:r>
        <w:rPr/>
        <w:t xml:space="preserve"> from what is </w:t>
      </w:r>
      <w:r>
        <w:rPr>
          <w:i/>
          <w:iCs/>
        </w:rPr>
        <w:t>implicated</w:t>
      </w:r>
      <w:r>
        <w:rPr/>
        <w:t xml:space="preserve">, and holds that hearers routinely infer meaning beyond literal content by assuming that speakers are cooperative and relevant (Grice, 1975). Against this background, reassurance is pragmatically marked. To assert that “AI will not replace you” is to treat replacement as relevant enough to be worth denying; under the maxims of relation and quantity, one does not ordinarily raise and negate a possibility that no one is entertaining. The denial therefore carries an implicature that replacement is a live possibility, so that the reassurance foregrounds the very outcome it repudiates. The strong version of this dynamic has empirical warrant. Wegner et al. (1981) show that incrimination can occur through innuendo—that even questions and denials can move audiences’ beliefs toward the implied proposition, such that “media questions become public answers.” This uptake is conditional, not automatic. The pragmatics of denial make the replacement implicature </w:t>
      </w:r>
      <w:r>
        <w:rPr>
          <w:i/>
          <w:iCs/>
        </w:rPr>
        <w:t>available</w:t>
      </w:r>
      <w:r>
        <w:rPr/>
        <w:t>, but whether an employee converts an available implicature into a settled belief depends on the interpretive conditions developed below—uncertainty about role consequences, low trust in the source, and prior suspicion primed by earlier experience (Sections 2.3.4–2.3.5). Where those conditions are absent, the same reassurance may be taken largely at face value; where they are present, reassurance does not neutralize the replacement possibility but foregrounds it, so that the act of denial can supply, rather than remove, the belief. This conditional dynamic is the first driver of reversal.</w:t>
      </w:r>
    </w:p>
    <w:p>
      <w:pPr>
        <w:pStyle w:val="Heading3"/>
        <w:ind w:hanging="0" w:start="0"/>
        <w:rPr/>
      </w:pPr>
      <w:bookmarkStart w:id="11" w:name="Xabbdcc4f912e9659a967cd5ffb3dcc59f149160"/>
      <w:bookmarkEnd w:id="11"/>
      <w:r>
        <w:rPr/>
        <w:t>2.3.2 Strategic ambiguity and the interpretive gap</w:t>
      </w:r>
    </w:p>
    <w:p>
      <w:pPr>
        <w:pStyle w:val="FirstParagraph"/>
        <w:rPr/>
      </w:pPr>
      <w:r>
        <w:rPr/>
        <w:t xml:space="preserve">Eisenberg (1984) argued that organizations frequently use ambiguity </w:t>
      </w:r>
      <w:r>
        <w:rPr>
          <w:i/>
          <w:iCs/>
        </w:rPr>
        <w:t>strategically</w:t>
      </w:r>
      <w:r>
        <w:rPr/>
        <w:t>—to preserve flexibility, permit multiple simultaneous readings, and retain deniability. Enablement narratives rely heavily on this device. Phrases such as “freeing you for higher-value work” or “focusing on what matters” specify neither which tasks will migrate to the system, nor how many roles will remain, nor what “higher-value” concretely denotes. Ambiguity here is not a communicative defect but a design feature that serves managerial flexibility precisely by leaving the consequential specifics open. The cost is that it transfers the interpretive burden to the employee, who must complete the message. Sensemaking predicts that the gap will be filled by the account most plausible given the employee’s priors; and, as Section 2.3.5 develops, those priors frequently lean toward substitution. The very device that preserves the flexibility of a reassuring message therefore licenses a threatening completion of it, because the specifics that would constrain a pessimistic reading—task scope, headcount, timeline—are exactly what strategic ambiguity withholds. The converse supplies the mechanism’s comparison condition. Communication that provides the withheld specifics—which tasks will migrate to the system, what happens to affected roles, and what observable commitments bound the implementation—constrains threat-consistent completion by closing the interpretive gap that ambiguity opens. Field-experimental evidence on realistic communication during organizational change supports this contrast: Schweiger and DeNisi (1991) showed that a realistic merger preview, replacing vague reassurance with specific and credible information, mitigated the rise in uncertainty and the erosion of trust and commitment that followed a merger announcement. Specificity is thus not merely a stylistic alternative to reassurance but the message-level property that counteracts reversal, a point formalized as Proposition 1a.</w:t>
      </w:r>
    </w:p>
    <w:p>
      <w:pPr>
        <w:pStyle w:val="Heading3"/>
        <w:ind w:hanging="0" w:start="0"/>
        <w:rPr/>
      </w:pPr>
      <w:bookmarkStart w:id="12" w:name="X023bd73a95c487182467edbeaedcb46b011da9e"/>
      <w:bookmarkEnd w:id="12"/>
      <w:r>
        <w:rPr/>
        <w:t>2.3.3 Efficiency vocabulary as euphemistic substitution</w:t>
      </w:r>
    </w:p>
    <w:p>
      <w:pPr>
        <w:pStyle w:val="FirstParagraph"/>
        <w:rPr/>
      </w:pPr>
      <w:r>
        <w:rPr/>
        <w:t xml:space="preserve">The lexicon of enablement—efficiency, streamlining, optimization, productivity—is not interpretively neutral. Organizational discourse research treats managerial vocabularies as socially situated rather than as transparent descriptors, so that word choice itself carries interpretive weight beyond its literal content (Fairclough, 1992). The specific terms of enablement, moreover, carry sedimented associations from prior managerial use: studies of downsizing and restructuring discourse show that rationalization and efficiency framings have recurrently accompanied and been used to justify workforce reduction, so that these terms have acquired an economic subtext independent of any single speaker’s intent (McKinley et al., 2000; Vaara &amp; Tienari, 2002). The same word therefore performs different interpretive work depending on the history the listener brings to it: to management it may denote development and support, while to employees who have encountered restructuring vocabularies it reads as an economic signal about headcount. This is </w:t>
      </w:r>
      <w:r>
        <w:rPr>
          <w:i/>
          <w:iCs/>
        </w:rPr>
        <w:t>euphemistic substitution</w:t>
      </w:r>
      <w:r>
        <w:rPr/>
        <w:t>—a developmental register laid over an economic one—and it means that enablement language can be received as a coded rather than a literal claim. The mechanism is continuous with Eisenberg’s (1984) insight that vocabulary choices manage interpretation, and with change-cynicism research (Section 2.3.4), which shows that change vocabularies lose credibility and acquire threat-consistent readings when they have previously been used to soften unwelcome outcomes. Efficiency discourse thus does not merely fail to reassure; where these associations are active, it can activate the substitution reading it was meant to forestall.</w:t>
      </w:r>
    </w:p>
    <w:p>
      <w:pPr>
        <w:pStyle w:val="Heading3"/>
        <w:ind w:hanging="0" w:start="0"/>
        <w:rPr/>
      </w:pPr>
      <w:bookmarkStart w:id="13" w:name="X4173f2f04ad0a15a6304b26ef27db03c40e4203"/>
      <w:bookmarkEnd w:id="13"/>
      <w:r>
        <w:rPr/>
        <w:t>2.3.4 Word–deed inconsistency, behavioral integrity, and interpretive priors</w:t>
      </w:r>
    </w:p>
    <w:p>
      <w:pPr>
        <w:pStyle w:val="FirstParagraph"/>
        <w:rPr/>
      </w:pPr>
      <w:r>
        <w:rPr/>
        <w:t xml:space="preserve">Enablement narratives are received against a background of managerial credibility, and that credibility is anchored in the alignment of words and deeds. Simons (2002) theorizes behavioral integrity—the perceived alignment between a manager’s words and deeds—as a foundation of managerial credibility whose violation is disproportionately costly. When enablement rhetoric (“we are investing in you”) co-occurs with contradictory deeds—hiring freezes, restructuring elsewhere, intensified productivity targets—the resulting word–deed gap does more than dilute the message: it recodes the message as evidence of concealment, so that the positive narrative becomes a datum </w:t>
      </w:r>
      <w:r>
        <w:rPr>
          <w:i/>
          <w:iCs/>
        </w:rPr>
        <w:t>within</w:t>
      </w:r>
      <w:r>
        <w:rPr/>
        <w:t xml:space="preserve"> a threat account rather than a counterweight </w:t>
      </w:r>
      <w:r>
        <w:rPr>
          <w:i/>
          <w:iCs/>
        </w:rPr>
        <w:t>against</w:t>
      </w:r>
      <w:r>
        <w:rPr/>
        <w:t xml:space="preserve"> it. This connects directly to organizational trust. In the integrative model of Mayer et al. (1995), trust rests on perceptions of ability, benevolence, and integrity; where perceived benevolence and integrity are low, employees interpret ambiguous managerial messages through a self-protective lens, resolving equivocality toward threat. It connects, finally, to durable interpretive priors formed by past experience. Psychological contract research shows that violated expectations shift how subsequent employer communications are read, and that such violation is common rather than exceptional (Rousseau, 1989; Robinson &amp; Rousseau, 1994); change-cynicism research shows that repeated, unfulfilled change rhetoric produces a skepticism that discounts positive messages and privileges threat-consistent inferences (Reichers et al., 1997). Together these literatures explain why the risk of backfire is not reducible to a single low-trust state measured at one moment: it is amplified by a history that pre-loads the interpretation, so that trust and word–deed consistency reappear in Section 3 not as incidental context but as boundary conditions and antecedents of the reversal.</w:t>
      </w:r>
    </w:p>
    <w:p>
      <w:pPr>
        <w:pStyle w:val="Heading3"/>
        <w:ind w:hanging="0" w:start="0"/>
        <w:rPr/>
      </w:pPr>
      <w:bookmarkStart w:id="14" w:name="Xd60ab9a7a3f2f14bf10fda32bd14797940e043d"/>
      <w:bookmarkEnd w:id="14"/>
      <w:r>
        <w:rPr/>
        <w:t>2.3.5 Automation anxiety and AI threat as the threat-laden backdrop</w:t>
      </w:r>
    </w:p>
    <w:p>
      <w:pPr>
        <w:pStyle w:val="FirstParagraph"/>
        <w:rPr/>
      </w:pPr>
      <w:r>
        <w:rPr/>
        <w:t xml:space="preserve">The employee who receives an enablement narrative is not a neutral interpreter, and the literatures on job insecurity and AI-related threat specify the priors that make reversal likely. Job insecurity research establishes that perceived insecurity—the anticipated, subjective threat of job loss—exerts powerful effects on attitudes and well-being, and is driven more by anticipation than by realized events (De Witte, 1999; Sverke et al., 2002; Shoss, 2017). Research on STARA (smart technology, artificial intelligence, robotics, and algorithms) awareness shows that employees are conscious of, and anxious about, the prospect of such technologies displacing them (Brougham &amp; Haar, 2018). Research on AI identity threat shows that AI can threaten occupational </w:t>
      </w:r>
      <w:r>
        <w:rPr>
          <w:i/>
          <w:iCs/>
        </w:rPr>
        <w:t>identity</w:t>
      </w:r>
      <w:r>
        <w:rPr/>
        <w:t>, not only employment, unsettling the sense of distinctiveness and value attached to a professional role (Mirbabaie et al., 2022). These literatures supply the interpretive default many employees bring to implementation: a prior that already leans toward substitution. An enablement message that is pragmatically marked, strategically ambiguous, and euphemistically worded thus meets a receiver primed to complete it in threat-consistent terms.</w:t>
      </w:r>
    </w:p>
    <w:p>
      <w:pPr>
        <w:pStyle w:val="Heading3"/>
        <w:ind w:hanging="0" w:start="0"/>
        <w:rPr/>
      </w:pPr>
      <w:bookmarkStart w:id="15" w:name="X4a092ecab53f073d89e494d930478374faa5e48"/>
      <w:bookmarkEnd w:id="15"/>
      <w:r>
        <w:rPr/>
        <w:t>2.3.6 Synthesis: a pragmatic reversal mechanism, not frame incongruence</w:t>
      </w:r>
    </w:p>
    <w:p>
      <w:pPr>
        <w:pStyle w:val="FirstParagraph"/>
        <w:rPr/>
      </w:pPr>
      <w:r>
        <w:rPr/>
        <w:t xml:space="preserve">Read together, these five literatures do more than enumerate reasons for anxiety; they specify a </w:t>
      </w:r>
      <w:r>
        <w:rPr>
          <w:i/>
          <w:iCs/>
        </w:rPr>
        <w:t>pragmatic reversal mechanism</w:t>
      </w:r>
      <w:r>
        <w:rPr/>
        <w:t>. Meaning is co-produced in context, and to the extent that reassurance is pragmatically marked (2.3.1), consequential specifics are strategically withheld (2.3.2), efficiency vocabulary carries economic connotations (2.3.3), managerial deeds contradict words against a low-trust and previously breached background (2.3.4), and the receiver is primed toward substitution (2.3.5), an explicitly positive enablement narrative becomes increasingly likely to be reversed into an AI-as-substitute frame. These conditions operate cumulatively rather than as jointly necessary requirements: each raises the likelihood of reversal, and their co-occurrence makes it substantially more probable. This is what distinguishes the present claim from the established finding of frame incongruence. Incongruence is two parties reading the same technology differently; reversal is a single message being turned into evidence for the opposite of its intent. The mechanism assembled here is what Section 1.2 named enablement narrative backfire, and its output—the AI-as-substitute frame—is the interpretive input to the appraisal process developed next.</w:t>
      </w:r>
    </w:p>
    <w:p>
      <w:pPr>
        <w:pStyle w:val="Heading2"/>
        <w:ind w:hanging="0" w:start="0"/>
        <w:rPr/>
      </w:pPr>
      <w:bookmarkStart w:id="16" w:name="Xd8aea2d090299197b43d9924cc586eaeb064341"/>
      <w:bookmarkStart w:id="17" w:name="Xa9787498552a0b4e66f9eb9d1a4654fab82a387"/>
      <w:bookmarkEnd w:id="16"/>
      <w:bookmarkEnd w:id="17"/>
      <w:r>
        <w:rPr/>
        <w:t>2.4 Cognitive appraisal and the dual pathway from frame to response mode</w:t>
      </w:r>
    </w:p>
    <w:p>
      <w:pPr>
        <w:pStyle w:val="Heading3"/>
        <w:ind w:hanging="0" w:start="0"/>
        <w:rPr/>
      </w:pPr>
      <w:r>
        <w:rPr/>
        <w:t>2.4.1 The dual pathway and the response-mode claim</w:t>
      </w:r>
    </w:p>
    <w:p>
      <w:pPr>
        <w:pStyle w:val="FirstParagraph"/>
        <w:rPr/>
      </w:pPr>
      <w:r>
        <w:rPr/>
        <w:t xml:space="preserve">A frame is not yet an outcome. The movement from the AI-as-substitute frame to an employee response runs through appraisal, and cognitive appraisal theory supplies the structure of that movement. Lazarus and Folkman (1984) distinguish primary appraisal—whether an encounter is relevant to one’s well-being and, if so, whether it is benign, harmful, threatening, or challenging—from secondary appraisal—the assessment of the coping resources and options available. Crucially, the same event can be appraised as a </w:t>
      </w:r>
      <w:r>
        <w:rPr>
          <w:i/>
          <w:iCs/>
        </w:rPr>
        <w:t>threat</w:t>
      </w:r>
      <w:r>
        <w:rPr/>
        <w:t xml:space="preserve"> (anticipated harm to valued commitments under insufficient resources) or as a </w:t>
      </w:r>
      <w:r>
        <w:rPr>
          <w:i/>
          <w:iCs/>
        </w:rPr>
        <w:t>challenge</w:t>
      </w:r>
      <w:r>
        <w:rPr/>
        <w:t xml:space="preserve"> (potential for mastery or gain under adequate resources). This grounds the paper’s dual pathway. The AI-as-substitute frame biases primary appraisal toward threat, but secondary appraisal—the resources an employee perceives for protecting or adapting the role—shapes whether the encounter is experienced as unmanageable threat, manageable challenge, or an opportunity for role adaptation, and thus whether it stabilizes as </w:t>
      </w:r>
      <w:r>
        <w:rPr>
          <w:b/>
          <w:bCs/>
        </w:rPr>
        <w:t>role threat appraisal</w:t>
      </w:r>
      <w:r>
        <w:rPr/>
        <w:t xml:space="preserve"> or </w:t>
      </w:r>
      <w:r>
        <w:rPr>
          <w:b/>
          <w:bCs/>
        </w:rPr>
        <w:t>role opportunity appraisal</w:t>
      </w:r>
      <w:r>
        <w:rPr/>
        <w:t xml:space="preserve">. The two appraisals are not free-floating alternatives; they are the threat and challenge poles of a single appraisal process operating on the same interpretive input. In this framework they are not constructs imported alongside appraisal theory but the domain-specific instantiations of its two poles: role threat appraisal is threat appraisal specified to the valued components of one’s professional role, and role opportunity appraisal is </w:t>
      </w:r>
      <w:r>
        <w:rPr>
          <w:i/>
          <w:iCs/>
        </w:rPr>
        <w:t>challenge appraisal concretized for the role-centered context of generative AI implementation</w:t>
      </w:r>
      <w:r>
        <w:rPr/>
        <w:t>—the appraisal that those same role components can be extended, elevated, or redefined rather than endangered. Casting the opportunity pathway as challenge appraisal given role-specific content, rather than as the mere absence of threat, is what makes it a genuine competing appraisal rather than a rhetorical counterweight. Within AI research specifically, the dual structure has a direct precedent: Ding (2021) shows that employees’ STARA awareness can be appraised as a hindrance or as a challenge, with the two appraisals predicting divergent engagement outcomes. The present framework builds on that precedent while departing from it on three points: the appraisal here is tied to a specific interpretive event—this implementation, framed by this narrative—rather than to generalized technological awareness; it is componential, specifying which role components are endangered or enabled rather than yielding a global valence; and it is recursively revisable through the employee’s own interaction with the system rather than measured as a standing disposition.</w:t>
      </w:r>
    </w:p>
    <w:p>
      <w:pPr>
        <w:pStyle w:val="BodyText"/>
        <w:rPr/>
      </w:pPr>
      <w:r>
        <w:rPr/>
        <w:t xml:space="preserve">Protection motivation theory extends this structure in a way that directly grounds the paper’s response-mode claim. Rogers (1975; see also Maddux &amp; Rogers, 1983) holds that responses to threat depend jointly on threat appraisal (perceived severity and vulnerability) and coping appraisal (response efficacy and self-efficacy): high threat combined with high coping efficacy tends to produce adaptive, problem-focused responses, whereas high threat combined with low coping efficacy tends to produce maladaptive responses such as avoidance, denial, and wishful thinking. This is the theoretical hinge for the argument that role threat does not translate into a single, lower level of adoption. An employee who appraises high threat but possesses coping resources may respond by </w:t>
      </w:r>
      <w:r>
        <w:rPr>
          <w:i/>
          <w:iCs/>
        </w:rPr>
        <w:t>intensifying</w:t>
      </w:r>
      <w:r>
        <w:rPr/>
        <w:t xml:space="preserve"> engagement—learning and deploying generative AI to remain indispensable, an adaptive and self-protective response the paper terms defensive adoption—while an employee with the same threat but few resources may withdraw. Protection motivation theory thus accounts for the threat-driven responses—avoidance under low coping efficacy, defensive adoption under high coping efficacy—but does not by itself yield genuine integration, which the framework traces to the opportunity pathway. The outcome of threat is therefore a </w:t>
      </w:r>
      <w:r>
        <w:rPr>
          <w:i/>
          <w:iCs/>
        </w:rPr>
        <w:t>kind</w:t>
      </w:r>
      <w:r>
        <w:rPr/>
        <w:t xml:space="preserve"> of response selected by coping appraisal, not a scalar depression of intention; this is the appraisal-theoretic basis for reframing adoption as a mode of response rather than a level. The behavioral distinction between defensive adoption and genuine integration—which can resemble each other in volume while differing in driver, depth, and stability—is formalized, with the full taxonomy, in Section 3.4.</w:t>
      </w:r>
    </w:p>
    <w:p>
      <w:pPr>
        <w:pStyle w:val="Heading3"/>
        <w:ind w:hanging="0" w:start="0"/>
        <w:rPr/>
      </w:pPr>
      <w:bookmarkStart w:id="18" w:name="X95bc3ee5a208fd674f2c51d6b532aaa89f47404"/>
      <w:bookmarkEnd w:id="18"/>
      <w:r>
        <w:rPr/>
        <w:t>2.4.2 The formation of the opportunity pathway: direct antecedents</w:t>
      </w:r>
    </w:p>
    <w:p>
      <w:pPr>
        <w:pStyle w:val="FirstParagraph"/>
        <w:rPr/>
      </w:pPr>
      <w:r>
        <w:rPr/>
        <w:t>The opportunity pathway has its own grounding. Wrzesniewski and Dutton (2001) establish that employees are active crafters of their roles, capable of altering task and relational boundaries and the meaning of their work. This supports treating role opportunity appraisal—and its components of augmentation, elevation, and reinvention—as a genuinely agentic pathway rather than the mere absence of threat: employees may appraise generative AI as raw material for redefining what their role is and where its value lies. Recent evidence linking employees’ generative AI awareness to job-crafting behavior through a sensemaking route (Yan et al., 2025) both supports this pathway and points toward the recursive process developed in the next subsection.</w:t>
      </w:r>
    </w:p>
    <w:p>
      <w:pPr>
        <w:pStyle w:val="BodyText"/>
        <w:rPr/>
      </w:pPr>
      <w:r>
        <w:rPr/>
        <w:t xml:space="preserve">Grounding alone, however, does not yet answer a question of symmetry: if the opportunity pathway is a genuine competing appraisal, it requires its own formation account—conditions that generate an opportunity framing directly, not merely through the </w:t>
      </w:r>
      <w:r>
        <w:rPr>
          <w:i/>
          <w:iCs/>
        </w:rPr>
        <w:t>absence</w:t>
      </w:r>
      <w:r>
        <w:rPr/>
        <w:t xml:space="preserve"> of narrative reversal or through later reappraisal in the loop. Three such direct antecedents follow from the theoretical materials already assembled, each the enabling mirror of a reversal condition.</w:t>
      </w:r>
    </w:p>
    <w:p>
      <w:pPr>
        <w:pStyle w:val="BodyText"/>
        <w:rPr/>
      </w:pPr>
      <w:r>
        <w:rPr/>
        <w:t xml:space="preserve">The first is </w:t>
      </w:r>
      <w:r>
        <w:rPr>
          <w:b/>
          <w:bCs/>
        </w:rPr>
        <w:t>participatory implementation</w:t>
      </w:r>
      <w:r>
        <w:rPr/>
        <w:t>. Strategic ambiguity transfers the interpretive burden to the employee (Section 2.3.2); participation reverses the direction of that transfer. When employees are involved in deciding which tasks migrate to the system, how saved time will be used, and how their roles will be reconfigured, they become co-authors of the implementation’s meaning rather than completers of an ambiguous message. Participation both supplies the specifics that constrain a threat-consistent completion and, more positively, gives employees concrete material and license for imagining augmented or elevated versions of their own role—participation is, in effect, organizationally sanctioned job crafting (Wrzesniewski &amp; Dutton, 2001).</w:t>
      </w:r>
    </w:p>
    <w:p>
      <w:pPr>
        <w:pStyle w:val="BodyText"/>
        <w:rPr/>
      </w:pPr>
      <w:r>
        <w:rPr/>
        <w:t xml:space="preserve">The second is </w:t>
      </w:r>
      <w:r>
        <w:rPr>
          <w:b/>
          <w:bCs/>
        </w:rPr>
        <w:t>credible role-redesign commitment</w:t>
      </w:r>
      <w:r>
        <w:rPr/>
        <w:t>. Word–deed consistency operates symmetrically (Section 2.3.4): just as contradictory deeds recode an enablement message as concealment, observable enabling deeds—reallocating saved time to judgment, relational, or client-facing work; funding training in AI-augmented skills; rewriting role descriptions to include new responsibilities; making verifiable redeployment rather than reduction commitments— convert the narrative from rhetoric into evidence. Behavioral integrity (Simons, 2002) thus does not only bound the backfire mechanism; when deeds visibly enact the enablement message, they directly warrant an opportunity framing of the same implementation.</w:t>
      </w:r>
    </w:p>
    <w:p>
      <w:pPr>
        <w:pStyle w:val="BodyText"/>
        <w:rPr/>
      </w:pPr>
      <w:r>
        <w:rPr/>
        <w:t xml:space="preserve">The third is </w:t>
      </w:r>
      <w:r>
        <w:rPr>
          <w:b/>
          <w:bCs/>
        </w:rPr>
        <w:t>augmentation-configured demonstration</w:t>
      </w:r>
      <w:r>
        <w:rPr/>
        <w:t>. The automation–augmentation duality (Raisch &amp; Krakowski, 2021; developed in Section 2.5.5) implies that demonstrations are directionally open, so their configuration is itself a formative condition. Demonstrations centered on tasks employees experience as burdensome rather than identity-central, and presented together with the human judgment the output still requires, invite an elevation reading (“this absorbs what I did not value”), where an unframed demonstration of an identity-central task invites a substitution reading.</w:t>
      </w:r>
    </w:p>
    <w:p>
      <w:pPr>
        <w:pStyle w:val="BodyText"/>
        <w:rPr/>
      </w:pPr>
      <w:r>
        <w:rPr/>
        <w:t xml:space="preserve">These antecedents give the opportunity pathway a formation narrative symmetrical to the threat pathway’s: the pragmatic properties of Section 2.3 make backfire likely, while participation, credible role-redesign commitment, and augmentation-configured demonstration make opportunity appraisal likely. Proposition 4a states this claim directly. Appraisal theory thus performs two functions for the framework: it legitimizes the dual pathway, in which threat and opportunity appraisals arise from one input and are adjudicated by secondary appraisal; and it converts the outcome from a quantity of adoption into a mode of response. What it does not yet explain is how appraisals are </w:t>
      </w:r>
      <w:r>
        <w:rPr>
          <w:i/>
          <w:iCs/>
        </w:rPr>
        <w:t>revised</w:t>
      </w:r>
      <w:r>
        <w:rPr/>
        <w:t xml:space="preserve"> over time—which requires characterizing how the technology’s own outputs feed the appraisal process.</w:t>
      </w:r>
    </w:p>
    <w:p>
      <w:pPr>
        <w:pStyle w:val="Heading2"/>
        <w:ind w:hanging="0" w:start="0"/>
        <w:rPr/>
      </w:pPr>
      <w:bookmarkStart w:id="19" w:name="Xbdef5e89c9c332d2365b14e94007c1334733c3f"/>
      <w:bookmarkStart w:id="20" w:name="X4f8999fdf486f7a635c73d33f5fa87338a23226"/>
      <w:bookmarkEnd w:id="19"/>
      <w:bookmarkEnd w:id="20"/>
      <w:r>
        <w:rPr/>
        <w:t>2.5 Generative AI as a cue-generating artifact: enactment, cue extraction, and cue credibility</w:t>
      </w:r>
    </w:p>
    <w:p>
      <w:pPr>
        <w:pStyle w:val="FirstParagraph"/>
        <w:rPr/>
      </w:pPr>
      <w:r>
        <w:rPr/>
        <w:t xml:space="preserve">The mechanisms developed so far treat generative AI implementation as a communicative event that employees appraise. But generative AI differs from earlier technologies in that employees can generate their own role-relevant evidence about it—directly, immediately, and largely privately. This subsection assembles the perspectives that explain why the technology’s outputs become cues within employees’ sensemaking, and why the resulting appraisals diverge across a workforce and remain unstable rather than settling. The claim is emphatically not that the system is an intentional actor; it is that generative AI is a </w:t>
      </w:r>
      <w:r>
        <w:rPr>
          <w:i/>
          <w:iCs/>
        </w:rPr>
        <w:t>cue-generating artifact</w:t>
      </w:r>
      <w:r>
        <w:rPr/>
        <w:t xml:space="preserve"> whose outputs employees enact, extract, credit, and appraise.</w:t>
      </w:r>
    </w:p>
    <w:p>
      <w:pPr>
        <w:pStyle w:val="Heading3"/>
        <w:ind w:hanging="0" w:start="0"/>
        <w:rPr/>
      </w:pPr>
      <w:r>
        <w:rPr/>
        <w:t>2.5.1 Enacted sensemaking: probing produces the cues</w:t>
      </w:r>
    </w:p>
    <w:p>
      <w:pPr>
        <w:pStyle w:val="FirstParagraph"/>
        <w:rPr/>
      </w:pPr>
      <w:r>
        <w:rPr/>
        <w:t>Weick’s (1988) account of enacted sensemaking holds that actors produce part of the environment they subsequently confront and interpret, so that action and interpretation are recursively coupled; in crisis, acting generates the very cues that render the situation sensible—or more dangerous. Transposed to generative AI, this describes the employee who asks the system what it can do, or sets it a task drawn from their own workflow: the probe is an action that produces the very cue the employee then interprets. This is why sensemaking about generative AI is not a one-time reception of a managerial message but an ongoing, enacted process. The employee is simultaneously the author of the probe and the interpreter of its result, and each interpretation conditions the next probe—the structural feature that turns interpretation into a loop rather than a single reception.</w:t>
      </w:r>
    </w:p>
    <w:p>
      <w:pPr>
        <w:pStyle w:val="Heading3"/>
        <w:ind w:hanging="0" w:start="0"/>
        <w:rPr/>
      </w:pPr>
      <w:bookmarkStart w:id="21" w:name="X16cea6e6b20b795c1dd69cf9430b285e880b027"/>
      <w:bookmarkEnd w:id="21"/>
      <w:r>
        <w:rPr/>
        <w:t>2.5.2 The sensemaking loop and cue extraction</w:t>
      </w:r>
    </w:p>
    <w:p>
      <w:pPr>
        <w:pStyle w:val="FirstParagraph"/>
        <w:rPr/>
      </w:pPr>
      <w:r>
        <w:rPr/>
        <w:t>Sensemaking proceeds by extracting cues from an equivocal environment and elaborating them into plausible accounts, iteratively (Weick, 1995; Maitlis &amp; Christianson, 2014). Pirolli and Card (2005) formalize an analogous structure in analytic work: cycles of information foraging and sense-making in which evidence is gathered, hypotheses are formed, and representations are revised. The transfer of this model is analogical and deliberately bounded: Pirolli and Card describe professional analysts foraging external documents, not employees interpreting their own roles, and the analogy is invoked here only for the iterative gather–hypothesize–revise structure it shares with organizational accounts of sensemaking as ongoing and cyclical (Weick, 1995; Maitlis &amp; Christianson, 2014). So bounded, it supports the loop structure the paper proposes—initial role interpretation, employee–AI interaction, AI-generated cue production, and updated appraisal, with the update conditioning the next probe. The AI-interactive role sensemaking loop is a specific case of this iterative process in which the cue source is the artifact’s own outputs and the hypothesis under continual revision is the meaning of the technology for one’s own role.</w:t>
      </w:r>
    </w:p>
    <w:p>
      <w:pPr>
        <w:pStyle w:val="Heading3"/>
        <w:ind w:hanging="0" w:start="0"/>
        <w:rPr/>
      </w:pPr>
      <w:bookmarkStart w:id="22" w:name="the-sensemaking-loop-and-cue-extraction"/>
      <w:bookmarkEnd w:id="22"/>
      <w:r>
        <w:rPr/>
        <w:t>2.5.3 Self-referential cues and the computers-as-social-actors interface</w:t>
      </w:r>
    </w:p>
    <w:p>
      <w:pPr>
        <w:pStyle w:val="FirstParagraph"/>
        <w:rPr/>
      </w:pPr>
      <w:r>
        <w:rPr/>
        <w:t xml:space="preserve">Why should the system’s statements </w:t>
      </w:r>
      <w:r>
        <w:rPr>
          <w:i/>
          <w:iCs/>
        </w:rPr>
        <w:t>about itself</w:t>
      </w:r>
      <w:r>
        <w:rPr/>
        <w:t xml:space="preserve"> carry interpretive weight, rather than being processed as inert output? The computers-are-social-actors paradigm provides the answer. Nass et al. (1994), Reeves and Nass (1996), and Nass and Moon (2000) show that people apply social rules, expectations, and attributions to computers, responding to them socially even while knowing the interlocutor is a machine. Generative AI intensifies this tendency: its fluent, first-person, conversational output invites employees to treat its self-descriptions—“I can draft that report,” “here is how I would analyze this”—as quasi-testimonial claims rather than as mere function outputs. </w:t>
      </w:r>
      <w:r>
        <w:rPr>
          <w:b/>
          <w:bCs/>
        </w:rPr>
        <w:t>Self-referential cues</w:t>
      </w:r>
      <w:r>
        <w:rPr/>
        <w:t xml:space="preserve"> therefore enter sensemaking with more weight than an inert tool’s specification sheet would command, because the interface encourages processing them as claims made by an agent-like source about tasks the employee owns. This is the theoretical grounding for treating the system’s statements about its own capabilities as a distinct and consequential class of role-relevant cue.</w:t>
      </w:r>
    </w:p>
    <w:p>
      <w:pPr>
        <w:pStyle w:val="Heading3"/>
        <w:ind w:hanging="0" w:start="0"/>
        <w:rPr/>
      </w:pPr>
      <w:bookmarkStart w:id="23" w:name="X48b18097bafafe942ee0b43463a7143bc14cdc5"/>
      <w:bookmarkEnd w:id="23"/>
      <w:r>
        <w:rPr/>
        <w:t>2.5.4 Cue credibility: the MAIN model and the machine heuristic</w:t>
      </w:r>
    </w:p>
    <w:p>
      <w:pPr>
        <w:pStyle w:val="FirstParagraph"/>
        <w:rPr/>
      </w:pPr>
      <w:r>
        <w:rPr/>
        <w:t xml:space="preserve">Whether a cue shifts an appraisal depends on whether it is </w:t>
      </w:r>
      <w:r>
        <w:rPr>
          <w:i/>
          <w:iCs/>
        </w:rPr>
        <w:t>credited</w:t>
      </w:r>
      <w:r>
        <w:rPr/>
        <w:t xml:space="preserve">. Sundar’s (2008) MAIN model identifies interface cues—modality, agency, interactivity, and navigability—that trigger cognitive heuristics about credibility. Among these, the </w:t>
      </w:r>
      <w:r>
        <w:rPr>
          <w:i/>
          <w:iCs/>
        </w:rPr>
        <w:t>machine heuristic</w:t>
      </w:r>
      <w:r>
        <w:rPr/>
        <w:t xml:space="preserve">—the belief that machines are objective, unbiased, mechanical, and therefore accurate—can lead people to trust machine-sourced information more than human-sourced information in certain contexts (Sundar &amp; Kim, 2019; Yang &amp; Sundar, 2024). Applied here, the machine heuristic implies that employees who regard generative AI as objective may over-credit its self-referential and demonstrative cues as valid evidence about their own replaceability, strengthening a threat appraisal. Conversely, awareness of the technology’s unevenness—its propensity to hallucinate, its brittleness, its shallow grasp of specialized domains—supplies grounds for discounting cues, weakening the appraisal shift or prompting revision. This is the theoretical basis for treating </w:t>
      </w:r>
      <w:r>
        <w:rPr>
          <w:b/>
          <w:bCs/>
        </w:rPr>
        <w:t>AI-generated cue credibility</w:t>
      </w:r>
      <w:r>
        <w:rPr/>
        <w:t xml:space="preserve"> as a boundary condition: the same demonstration moves an appraisal only to the extent that the employee treats it as trustworthy evidence about the role.</w:t>
      </w:r>
    </w:p>
    <w:p>
      <w:pPr>
        <w:pStyle w:val="Heading3"/>
        <w:ind w:hanging="0" w:start="0"/>
        <w:rPr/>
      </w:pPr>
      <w:bookmarkStart w:id="24" w:name="X9d501006f208872c7fd4392aa72c191b199dedc"/>
      <w:bookmarkEnd w:id="24"/>
      <w:r>
        <w:rPr/>
        <w:t>2.5.5 Demonstrative cues, task-role overlap, and the automation–augmentation duality</w:t>
      </w:r>
    </w:p>
    <w:p>
      <w:pPr>
        <w:pStyle w:val="FirstParagraph"/>
        <w:rPr/>
      </w:pPr>
      <w:r>
        <w:rPr>
          <w:b/>
          <w:bCs/>
        </w:rPr>
        <w:t>Demonstrative cues</w:t>
      </w:r>
      <w:r>
        <w:rPr/>
        <w:t xml:space="preserve">—the system performing a task—convert a hypothetical possibility into an observed event and are, for that reason, typically more consequential than self-description. Their impact on appraisal depends on </w:t>
      </w:r>
      <w:r>
        <w:rPr>
          <w:i/>
          <w:iCs/>
        </w:rPr>
        <w:t>task-role overlap</w:t>
      </w:r>
      <w:r>
        <w:rPr/>
        <w:t xml:space="preserve">: the more central the demonstrated task is to the employee’s role identity, the stronger the appraisal it provokes, in either direction. The direction is not fixed by the demonstration itself. Raisch and Krakowski’s (2021) automation–augmentation paradox captures the underlying duality: the same capability can be read as automating (substituting for) or augmenting (extending) human work, and the two are entangled rather than opposed. An employee who watches generative AI perform an identity-central task may extract substitution (“this is what I do, done without me”) or elevation (“this frees me for higher-order work”), and which reading dominates is governed by secondary appraisal resources and cue credibility rather than by the demonstration alone. Because performance is uneven, moreover, self-run demonstrations also return </w:t>
      </w:r>
      <w:r>
        <w:rPr>
          <w:i/>
          <w:iCs/>
        </w:rPr>
        <w:t>disconfirming</w:t>
      </w:r>
      <w:r>
        <w:rPr/>
        <w:t xml:space="preserve"> evidence, so appraisals may be revised rather than only amplified—a central source of the instability the framework predicts.</w:t>
      </w:r>
    </w:p>
    <w:p>
      <w:pPr>
        <w:pStyle w:val="Heading3"/>
        <w:ind w:hanging="0" w:start="0"/>
        <w:rPr/>
      </w:pPr>
      <w:bookmarkStart w:id="25" w:name="X03ffbb350814dcb1a5f89125d316657322a1fa8"/>
      <w:bookmarkEnd w:id="25"/>
      <w:r>
        <w:rPr/>
        <w:t>2.5.6 Socially transmitted cues: the loop is embedded in a social process</w:t>
      </w:r>
    </w:p>
    <w:p>
      <w:pPr>
        <w:pStyle w:val="FirstParagraph"/>
        <w:rPr/>
      </w:pPr>
      <w:r>
        <w:rPr/>
        <w:t xml:space="preserve">The loop as developed so far is dyadic—employee and system—but sensemaking is, in Weick’s (1995) account, irreducibly social, and the emerging evidence on generative AI sensemaking is itself collective: Agarwal et al.’s (2026) sensemaking–sensegiving analysis draws on users making meaning publicly, for one another. A third class of cue therefore enters the loop alongside self-referential and demonstrative cues: </w:t>
      </w:r>
      <w:r>
        <w:rPr>
          <w:b/>
          <w:bCs/>
        </w:rPr>
        <w:t>socially transmitted cues</w:t>
      </w:r>
      <w:r>
        <w:rPr/>
        <w:t xml:space="preserve">—a colleague’s demonstration of the system on shared tasks, AI-generated outputs circulating within a team, a manager’s own observed use, and stories about who used the system for what. These are, in effect, vicarious demonstrative cues: they carry a demonstration’s evidentiary force without requiring the employee’s own probe, and they interact with private experimentation rather than merely paralleling it. An impressive circulated output can prompt an employee’s own probing; conversely, covert use can diffuse socially precisely because its outputs circulate while their authorship does not (Gillespie et al., 2025), so that private experimentation and social transmission amplify one another. Socially transmitted cues are subject to the same crediting logic as artifact-generated cues, with </w:t>
      </w:r>
      <w:r>
        <w:rPr>
          <w:i/>
          <w:iCs/>
        </w:rPr>
        <w:t>source</w:t>
      </w:r>
      <w:r>
        <w:rPr/>
        <w:t xml:space="preserve"> credibility—the colleague’s perceived competence, the manager’s perceived candor—playing the role that the machine heuristic plays for the artifact’s own outputs. The framework accordingly treats its distinctive contribution, the artifact-generated channel, as embedded within rather than sealed off from this social channel: the propositions in Section 4.3 are stated for artifact-generated cues, the channel prior accounts leave unspecified, with parallel effects expected for socially transmitted cues under source-credibility moderation.</w:t>
      </w:r>
    </w:p>
    <w:p>
      <w:pPr>
        <w:pStyle w:val="Heading3"/>
        <w:ind w:hanging="0" w:start="0"/>
        <w:rPr/>
      </w:pPr>
      <w:bookmarkStart w:id="26" w:name="X9b8ef333540f5ad1f423e98c535c28ee8300fa1"/>
      <w:bookmarkEnd w:id="26"/>
      <w:r>
        <w:rPr/>
        <w:t>2.5.7 Emerging generative AI sensemaking research and the remaining gap</w:t>
      </w:r>
    </w:p>
    <w:p>
      <w:pPr>
        <w:pStyle w:val="FirstParagraph"/>
        <w:rPr/>
      </w:pPr>
      <w:r>
        <w:rPr/>
        <w:t xml:space="preserve">Recent work has begun to bring a sensemaking lens to generative AI. Agarwal et al. (2026) analyze how users make sense of, and give sense about, generative AI “teammates” through user reviews, showing that meaning-making around the technology is active and social. Yan et al. (2025) show that employees’ generative AI awareness shapes job-crafting behavior through a sensemaking process that can move toward approach or avoidance. These studies establish that sensemaking is the appropriate lens for generative AI at work and that divergence between approach and avoidance responses is real. Parallel dual-pathway findings are accumulating in the job-crafting literature (e.g., Xu et al., 2026), and the present taxonomy should be read against them: crafting orientations describe how employees reshape a role they retain, whereas modes of adoption response classify the stance taken toward the technology itself—including compliance-only use and defensive adoption, which crafting categories do not distinguish. What remains less fully specified—and what the present paper supplies—is a theorization of these outputs as a </w:t>
      </w:r>
      <w:r>
        <w:rPr>
          <w:i/>
          <w:iCs/>
        </w:rPr>
        <w:t>recursive source of role-relevant cues</w:t>
      </w:r>
      <w:r>
        <w:rPr/>
        <w:t xml:space="preserve"> that employees enact, credit, and appraise against specific components of their role, together with a connection between that cue-production process and the reversal of an organizational enablement narrative. The gap, in short, is one of mechanism specification, not the absence of a sensemaking perspective.</w:t>
      </w:r>
    </w:p>
    <w:p>
      <w:pPr>
        <w:pStyle w:val="Heading3"/>
        <w:ind w:hanging="0" w:start="0"/>
        <w:rPr/>
      </w:pPr>
      <w:bookmarkStart w:id="27" w:name="X77183b43d9ce79ed6407a93030c63821a6643e3"/>
      <w:bookmarkEnd w:id="27"/>
      <w:r>
        <w:rPr/>
        <w:t>2.5.8 Synthesis: a recursive cue-production mechanism</w:t>
      </w:r>
    </w:p>
    <w:p>
      <w:pPr>
        <w:pStyle w:val="FirstParagraph"/>
        <w:rPr/>
      </w:pPr>
      <w:r>
        <w:rPr/>
        <w:t xml:space="preserve">Taken together, enactment (2.5.1), cue extraction within an iterative sensemaking loop (2.5.2), the social-actor interface that gives self-referential statements interpretive weight (2.5.3), the credibility heuristics that govern whether cues are believed (2.5.4), task-role overlap under the automation–augmentation duality (2.5.5), and the social embedding of the loop (2.5.6) specify a </w:t>
      </w:r>
      <w:r>
        <w:rPr>
          <w:i/>
          <w:iCs/>
        </w:rPr>
        <w:t>recursive cue-production mechanism</w:t>
      </w:r>
      <w:r>
        <w:rPr/>
        <w:t xml:space="preserve">. Generative AI alters the epistemic structure of implementation sensemaking: employees no longer depend on cues released by the organization gradually over time, but generate role-relevant evidence on demand and appraise it against the components of their own role. Because probes are self-directed and performance is uneven, this mechanism explains what an evaluation-centered account cannot—why direct interaction with the </w:t>
      </w:r>
      <w:r>
        <w:rPr>
          <w:i/>
          <w:iCs/>
        </w:rPr>
        <w:t>same</w:t>
      </w:r>
      <w:r>
        <w:rPr/>
        <w:t xml:space="preserve"> system can intensify threat for one employee and open opportunity for another, and why role appraisals remain unstable rather than converging.</w:t>
      </w:r>
    </w:p>
    <w:p>
      <w:pPr>
        <w:pStyle w:val="BodyText"/>
        <w:rPr/>
      </w:pPr>
      <w:r>
        <w:rPr/>
        <w:t>Specifying the mechanism this way also dissolves an apparent tension between entrenchment and instability. The loop’s trajectory is governed by the joint configuration of parameters already introduced: cue credibility determines how strongly any single cue moves the appraisal; task-role overlap determines how consequential the cues returned by an employee’s probes tend to be; and the system’s uneven performance determines the mix of confirming and disconfirming evidence those probes return. When credited cues consistently point in one direction—high credibility, high overlap, repeated confirmation—the loop converges and the appraisal entrenches. When performance is uneven and cues are only partially credited, successive probes return conflicting evidence and the appraisal oscillates rather than settling. When disconfirming evidence is both strong and credited, the loop reverses the frame. Entrenchment, oscillation, and reversal are thus not competing claims but the three trajectories of one recursive process, differentiated by the boundary conditions the framework specifies; Proposition 7 states all three trajectories and the conditions that select among them.</w:t>
      </w:r>
    </w:p>
    <w:p>
      <w:pPr>
        <w:pStyle w:val="Heading2"/>
        <w:ind w:hanging="0" w:start="0"/>
        <w:rPr/>
      </w:pPr>
      <w:bookmarkStart w:id="28" w:name="X1bd39394431c224e0adc77296947f566f69a1db"/>
      <w:bookmarkStart w:id="29" w:name="X6293db5d2190612aa236d6a7ee444d1e682ee5e"/>
      <w:bookmarkEnd w:id="28"/>
      <w:bookmarkEnd w:id="29"/>
      <w:r>
        <w:rPr/>
        <w:t>2.6 Transition to the framework</w:t>
      </w:r>
    </w:p>
    <w:p>
      <w:pPr>
        <w:pStyle w:val="FirstParagraph"/>
        <w:rPr/>
      </w:pPr>
      <w:r>
        <w:rPr/>
        <w:t>The two mechanisms have now been fully assembled and synthesized in place—narrative reversal in Section 2.3.6, the appraisal bridge and its opportunity antecedents in Section 2.4, and recursive cue production in Section 2.5.8—so no further summary is repeated here. Section 3 formalizes what these mechanisms require: it distinguishes mechanisms from measurable constructs, sorts the framework’s elements into tiers, and specifies the appraisal components and the taxonomy of adoption response modes.</w:t>
      </w:r>
    </w:p>
    <w:p>
      <w:pPr>
        <w:pStyle w:val="Heading1"/>
        <w:ind w:hanging="0" w:start="0"/>
        <w:rPr/>
      </w:pPr>
      <w:bookmarkStart w:id="30" w:name="transition-to-the-framework"/>
      <w:bookmarkStart w:id="31" w:name="theoretical-background"/>
      <w:bookmarkEnd w:id="30"/>
      <w:bookmarkEnd w:id="31"/>
      <w:r>
        <w:rPr/>
        <w:t>3. Conceptual Framework</w:t>
      </w:r>
    </w:p>
    <w:p>
      <w:pPr>
        <w:pStyle w:val="FirstParagraph"/>
        <w:rPr/>
      </w:pPr>
      <w:r>
        <w:rPr/>
        <w:t>Section 2 assembled the theoretical materials for the paper’s two mechanisms. This section formalizes the constructs those mechanisms require and specifies how they connect. To avoid restating Section 2’s arguments and to keep the framework legible, the exposition is deliberately compact and organized around one figure and three tables. Section 3.1 states the overall architecture (Figure 1). Section 3.2 distinguishes mechanisms from measurable constructs and sorts the framework’s elements into three tiers—primary mechanisms and constructs, contextual antecedents, and boundary conditions—together with the terminal outcome (Table 1). Section 3.3 specifies the components of the two role appraisals (Table 2). Section 3.4 formalizes the outcome as a taxonomy of adoption response modes (Table 3). Section 4 then states the propositions that link these constructs.</w:t>
      </w:r>
    </w:p>
    <w:p>
      <w:pPr>
        <w:pStyle w:val="Heading2"/>
        <w:ind w:hanging="0" w:start="0"/>
        <w:rPr/>
      </w:pPr>
      <w:r>
        <w:rPr/>
        <w:t>3.1 Architecture of the framework</w:t>
      </w:r>
    </w:p>
    <w:p>
      <w:pPr>
        <w:pStyle w:val="FirstParagraph"/>
        <w:rPr/>
      </w:pPr>
      <w:r>
        <w:rPr/>
        <w:t xml:space="preserve">The framework couples the two mechanisms in sequence and closes them into a loop. An organizational enablement narrative is received by an employee whose interpretation is pre-loaded by contextual antecedents. Through </w:t>
      </w:r>
      <w:r>
        <w:rPr>
          <w:i/>
          <w:iCs/>
        </w:rPr>
        <w:t>enablement narrative backfire</w:t>
      </w:r>
      <w:r>
        <w:rPr/>
        <w:t xml:space="preserve">, and moderated by organizational trust, that narrative can be reversed into an </w:t>
      </w:r>
      <w:r>
        <w:rPr>
          <w:i/>
          <w:iCs/>
        </w:rPr>
        <w:t>AI-as-substitute frame</w:t>
      </w:r>
      <w:r>
        <w:rPr/>
        <w:t xml:space="preserve">. The frame biases primary appraisal toward threat; secondary appraisal resources then shape whether it stabilizes as </w:t>
      </w:r>
      <w:r>
        <w:rPr>
          <w:i/>
          <w:iCs/>
        </w:rPr>
        <w:t>role threat appraisal</w:t>
      </w:r>
      <w:r>
        <w:rPr/>
        <w:t xml:space="preserve"> or </w:t>
      </w:r>
      <w:r>
        <w:rPr>
          <w:i/>
          <w:iCs/>
        </w:rPr>
        <w:t>role opportunity appraisal</w:t>
      </w:r>
      <w:r>
        <w:rPr/>
        <w:t xml:space="preserve">. The </w:t>
      </w:r>
      <w:r>
        <w:rPr>
          <w:i/>
          <w:iCs/>
        </w:rPr>
        <w:t>AI-interactive role sensemaking loop</w:t>
      </w:r>
      <w:r>
        <w:rPr/>
        <w:t xml:space="preserve"> runs recursively on that appraisal: the employee probes generative AI, which produces self-referential and demonstrative cues; moderated by AI-generated cue credibility, these cues update the appraisal, and the updated appraisal conditions the next probe. Finally, the appraisal process, under varying levels of discretion and external mandate, channels the employee into one of four </w:t>
      </w:r>
      <w:r>
        <w:rPr>
          <w:i/>
          <w:iCs/>
        </w:rPr>
        <w:t>modes of adoption response</w:t>
      </w:r>
      <w:r>
        <w:rPr/>
        <w:t xml:space="preserve">. Two features distinguish this architecture from a linear adoption model: the appraisal is revisable rather than fixed, because the loop feeds fresh evidence back into it; and the terminal outcome is a </w:t>
      </w:r>
      <w:r>
        <w:rPr>
          <w:i/>
          <w:iCs/>
        </w:rPr>
        <w:t>kind</w:t>
      </w:r>
      <w:r>
        <w:rPr/>
        <w:t xml:space="preserve"> of response, not a </w:t>
      </w:r>
      <w:r>
        <w:rPr>
          <w:i/>
          <w:iCs/>
        </w:rPr>
        <w:t>level</w:t>
      </w:r>
      <w:r>
        <w:rPr/>
        <w:t xml:space="preserve"> of use. Figure 1 depicts the full framework.</w:t>
      </w:r>
    </w:p>
    <w:p>
      <w:pPr>
        <w:pStyle w:val="BodyText"/>
        <w:rPr/>
      </w:pPr>
      <w:r>
        <w:rPr/>
        <w:t>One clarification bounds the loop. Its distinctive cue source is the artifact’s own outputs, because that is the channel prior accounts leave unspecified; it is not the only channel through which appraisals move. Two further channels are recognized. First, socially transmitted cues—colleagues’ demonstrations, circulating AI-generated outputs, a manager’s observed use—enter the loop directly as a third cue class (Section 2.5.6), subject to source-credibility rather than machine-heuristic moderation. Second, organizational actions that occur during implementation—restructuring announcements, hiring decisions, revised targets—also update the appraisal, but they enter by revising the contextual reading, most directly perceived word–deed consistency, rather than through the cue channels of the loop. Word–deed consistency is accordingly an antecedent at the moment the narrative is received and a continuing stream of organizational evidence thereafter; the framework foregrounds the artifact channel without claiming exclusivity for it.</w:t>
      </w:r>
    </w:p>
    <w:p>
      <w:pPr>
        <w:pStyle w:val="BodyText"/>
        <w:rPr>
          <w:lang w:eastAsia="en-US"/>
        </w:rPr>
      </w:pPr>
      <w:r>
        <w:rPr>
          <w:lang w:val="en-US" w:eastAsia="en-US"/>
        </w:rPr>
        <w:drawing>
          <wp:inline distT="0" distB="0" distL="0" distR="0">
            <wp:extent cx="5936615" cy="3331845"/>
            <wp:effectExtent l="0" t="0" r="0" b="0"/>
            <wp:docPr id="1"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title=""/>
                    <pic:cNvPicPr>
                      <a:picLocks noChangeAspect="1" noChangeArrowheads="1"/>
                    </pic:cNvPicPr>
                  </pic:nvPicPr>
                  <pic:blipFill>
                    <a:blip r:embed="rId2"/>
                    <a:srcRect l="-3" t="-5" r="-3" b="-5"/>
                    <a:stretch>
                      <a:fillRect/>
                    </a:stretch>
                  </pic:blipFill>
                  <pic:spPr bwMode="auto">
                    <a:xfrm>
                      <a:off x="0" y="0"/>
                      <a:ext cx="5936615" cy="3331845"/>
                    </a:xfrm>
                    <a:prstGeom prst="rect">
                      <a:avLst/>
                    </a:prstGeom>
                  </pic:spPr>
                </pic:pic>
              </a:graphicData>
            </a:graphic>
          </wp:inline>
        </w:drawing>
      </w:r>
    </w:p>
    <w:p>
      <w:pPr>
        <w:pStyle w:val="BodyText"/>
        <w:rPr/>
      </w:pPr>
      <w:r>
        <w:rPr>
          <w:b/>
          <w:bCs/>
        </w:rPr>
        <w:t>Figure 1.</w:t>
      </w:r>
      <w:r>
        <w:rPr/>
        <w:t xml:space="preserve"> </w:t>
      </w:r>
      <w:r>
        <w:rPr>
          <w:i/>
          <w:iCs/>
        </w:rPr>
        <w:t>From enablement narratives to modes of adoption response: a recursive role-sensemaking framework.</w:t>
      </w:r>
    </w:p>
    <w:p>
      <w:pPr>
        <w:pStyle w:val="BodyText"/>
        <w:rPr/>
      </w:pPr>
      <w:r>
        <w:rPr>
          <w:i/>
          <w:iCs/>
        </w:rPr>
        <w:t>Note.</w:t>
      </w:r>
      <w:r>
        <w:rPr/>
        <w:t xml:space="preserve"> Solid arrows denote the primary causal path; dotted grey arrows denote the boundary conditions that moderate specific links; curved arrows denote the recursive AI-interactive role sensemaking loop; and the long-dashed arrow denotes the reappraisal pathway, by which a successful reappraisal reached through the loop can yield genuine integration. Line types are also summarized in the in-figure legend. Section 3.1 narrates the path; Section 3.4 explains the external-mandate condition marked in italics in the figure.</w:t>
      </w:r>
    </w:p>
    <w:p>
      <w:pPr>
        <w:pStyle w:val="BodyText"/>
        <w:rPr/>
      </w:pPr>
      <w:r>
        <w:rPr/>
        <w:t xml:space="preserve">The framework distinguishes three tiers. </w:t>
      </w:r>
      <w:r>
        <w:rPr>
          <w:b/>
          <w:bCs/>
        </w:rPr>
        <w:t>Primary mechanisms and constructs</w:t>
      </w:r>
      <w:r>
        <w:rPr/>
        <w:t xml:space="preserve"> carry the two mechanisms and lie on the main path from narrative to response. </w:t>
      </w:r>
      <w:r>
        <w:rPr>
          <w:b/>
          <w:bCs/>
        </w:rPr>
        <w:t>Contextual antecedents</w:t>
      </w:r>
      <w:r>
        <w:rPr/>
        <w:t xml:space="preserve"> precede and shape the interpretive process before any appraisal forms. </w:t>
      </w:r>
      <w:r>
        <w:rPr>
          <w:b/>
          <w:bCs/>
        </w:rPr>
        <w:t>Boundary conditions</w:t>
      </w:r>
      <w:r>
        <w:rPr/>
        <w:t xml:space="preserve"> moderate specific links within it. Keeping the tiers distinct is not cosmetic: an element’s tier determines where it enters the model and, in Section 4, the form of the proposition in which it appears—antecedents raise or lower a baseline probability, boundary conditions strengthen or weaken a specified link, and primary mechanisms and constructs occupy the causal path itself.</w:t>
      </w:r>
    </w:p>
    <w:p>
      <w:pPr>
        <w:pStyle w:val="Heading2"/>
        <w:ind w:hanging="0" w:start="0"/>
        <w:rPr/>
      </w:pPr>
      <w:bookmarkStart w:id="32" w:name="architecture-of-the-framework"/>
      <w:bookmarkEnd w:id="32"/>
      <w:r>
        <w:rPr/>
        <w:t>3.2 Mechanisms, constructs, and tiers</w:t>
      </w:r>
    </w:p>
    <w:p>
      <w:pPr>
        <w:pStyle w:val="FirstParagraph"/>
        <w:rPr/>
      </w:pPr>
      <w:r>
        <w:rPr/>
        <w:t>Table 1 defines each element in condensed form, assigns it to a tier, states its position in the model, and points to the subsection that carries its full definition; to avoid the verbatim duplication a table of full definitions would entail, the table entries are deliberately abbreviated.</w:t>
      </w:r>
    </w:p>
    <w:p>
      <w:pPr>
        <w:sectPr>
          <w:type w:val="nextPage"/>
          <w:pgSz w:w="12240" w:h="15840"/>
          <w:pgMar w:left="1440" w:right="1440" w:gutter="0" w:header="0" w:top="1440" w:footer="0" w:bottom="1440"/>
          <w:pgNumType w:fmt="decimal"/>
          <w:formProt w:val="false"/>
          <w:textDirection w:val="lrTb"/>
          <w:docGrid w:type="default" w:linePitch="360" w:charSpace="0"/>
        </w:sectPr>
        <w:pStyle w:val="BodyText"/>
        <w:rPr/>
      </w:pPr>
      <w:r>
        <w:rPr/>
        <w:t xml:space="preserve">One terminological clarification governs the primary tier. Two of its entries—enablement narrative backfire and the AI-interactive role sensemaking loop—are </w:t>
      </w:r>
      <w:r>
        <w:rPr>
          <w:b/>
          <w:bCs/>
        </w:rPr>
        <w:t>mechanisms</w:t>
      </w:r>
      <w:r>
        <w:rPr/>
        <w:t xml:space="preserve">: specified processes that connect constructs, not measurable states. The remaining primary entries—the AI-as-substitute frame and the two role appraisals—are </w:t>
      </w:r>
      <w:r>
        <w:rPr>
          <w:b/>
          <w:bCs/>
        </w:rPr>
        <w:t>constructs</w:t>
      </w:r>
      <w:r>
        <w:rPr/>
        <w:t xml:space="preserve"> in the measurement sense. The distinction matters empirically because the two are treated differently in research design: constructs are operationalized and measured directly (Section 5.3 provides illustrative items), whereas mechanisms are tested indirectly, through the propositions that link their constituent constructs (P1–P3 for backfire; P5–P7 for the loop). Table 1 labels the tiers accordingly, and the framework consistently refers to backfire and the loop as mechanisms rather than constructs.</w:t>
      </w:r>
    </w:p>
    <w:p>
      <w:pPr>
        <w:pStyle w:val="BodyText"/>
        <w:rPr/>
      </w:pPr>
      <w:r>
        <w:rPr>
          <w:b/>
          <w:bCs/>
        </w:rPr>
        <w:t>Table 1.</w:t>
      </w:r>
      <w:r>
        <w:rPr/>
        <w:t xml:space="preserve"> </w:t>
      </w:r>
      <w:r>
        <w:rPr>
          <w:i/>
          <w:iCs/>
        </w:rPr>
        <w:t>Elements of the framework, by tier (condensed definitions; full definitions in the sections indicated).</w:t>
      </w:r>
    </w:p>
    <w:tbl>
      <w:tblPr>
        <w:tblW w:w="5000" w:type="pct"/>
        <w:jc w:val="start"/>
        <w:tblInd w:w="0" w:type="dxa"/>
        <w:tblLayout w:type="fixed"/>
        <w:tblCellMar>
          <w:top w:w="0" w:type="dxa"/>
          <w:start w:w="108" w:type="dxa"/>
          <w:bottom w:w="0" w:type="dxa"/>
          <w:end w:w="108" w:type="dxa"/>
        </w:tblCellMar>
      </w:tblPr>
      <w:tblGrid>
        <w:gridCol w:w="2391"/>
        <w:gridCol w:w="1779"/>
        <w:gridCol w:w="4013"/>
        <w:gridCol w:w="3411"/>
        <w:gridCol w:w="1366"/>
      </w:tblGrid>
      <w:tr>
        <w:trPr>
          <w:tblHeader w:val="true"/>
        </w:trPr>
        <w:tc>
          <w:tcPr>
            <w:tcW w:w="2391" w:type="dxa"/>
            <w:tcBorders>
              <w:bottom w:val="single" w:sz="6" w:space="0" w:color="000000"/>
            </w:tcBorders>
            <w:vAlign w:val="bottom"/>
          </w:tcPr>
          <w:p>
            <w:pPr>
              <w:pStyle w:val="Compact"/>
              <w:spacing w:before="36" w:after="36"/>
              <w:rPr/>
            </w:pPr>
            <w:r>
              <w:rPr/>
              <w:t>Element</w:t>
            </w:r>
          </w:p>
        </w:tc>
        <w:tc>
          <w:tcPr>
            <w:tcW w:w="1779" w:type="dxa"/>
            <w:tcBorders>
              <w:bottom w:val="single" w:sz="6" w:space="0" w:color="000000"/>
            </w:tcBorders>
            <w:vAlign w:val="bottom"/>
          </w:tcPr>
          <w:p>
            <w:pPr>
              <w:pStyle w:val="Compact"/>
              <w:spacing w:before="36" w:after="36"/>
              <w:rPr/>
            </w:pPr>
            <w:r>
              <w:rPr/>
              <w:t>Tier</w:t>
            </w:r>
          </w:p>
        </w:tc>
        <w:tc>
          <w:tcPr>
            <w:tcW w:w="4013" w:type="dxa"/>
            <w:tcBorders>
              <w:bottom w:val="single" w:sz="6" w:space="0" w:color="000000"/>
            </w:tcBorders>
            <w:vAlign w:val="bottom"/>
          </w:tcPr>
          <w:p>
            <w:pPr>
              <w:pStyle w:val="Compact"/>
              <w:spacing w:before="36" w:after="36"/>
              <w:rPr/>
            </w:pPr>
            <w:r>
              <w:rPr/>
              <w:t>Condensed definition</w:t>
            </w:r>
          </w:p>
        </w:tc>
        <w:tc>
          <w:tcPr>
            <w:tcW w:w="3411" w:type="dxa"/>
            <w:tcBorders>
              <w:bottom w:val="single" w:sz="6" w:space="0" w:color="000000"/>
            </w:tcBorders>
            <w:vAlign w:val="bottom"/>
          </w:tcPr>
          <w:p>
            <w:pPr>
              <w:pStyle w:val="Compact"/>
              <w:spacing w:before="36" w:after="36"/>
              <w:rPr/>
            </w:pPr>
            <w:r>
              <w:rPr/>
              <w:t>Model position</w:t>
            </w:r>
          </w:p>
        </w:tc>
        <w:tc>
          <w:tcPr>
            <w:tcW w:w="1366" w:type="dxa"/>
            <w:tcBorders>
              <w:bottom w:val="single" w:sz="6" w:space="0" w:color="000000"/>
            </w:tcBorders>
            <w:vAlign w:val="bottom"/>
          </w:tcPr>
          <w:p>
            <w:pPr>
              <w:pStyle w:val="Compact"/>
              <w:spacing w:before="36" w:after="36"/>
              <w:rPr/>
            </w:pPr>
            <w:r>
              <w:rPr/>
              <w:t>Full definition</w:t>
            </w:r>
          </w:p>
        </w:tc>
      </w:tr>
      <w:tr>
        <w:trPr/>
        <w:tc>
          <w:tcPr>
            <w:tcW w:w="2391" w:type="dxa"/>
            <w:tcBorders/>
          </w:tcPr>
          <w:p>
            <w:pPr>
              <w:pStyle w:val="Compact"/>
              <w:spacing w:before="36" w:after="36"/>
              <w:rPr/>
            </w:pPr>
            <w:r>
              <w:rPr/>
              <w:t>Enablement narrative backfire</w:t>
            </w:r>
          </w:p>
        </w:tc>
        <w:tc>
          <w:tcPr>
            <w:tcW w:w="1779" w:type="dxa"/>
            <w:tcBorders/>
          </w:tcPr>
          <w:p>
            <w:pPr>
              <w:pStyle w:val="Compact"/>
              <w:spacing w:before="36" w:after="36"/>
              <w:rPr/>
            </w:pPr>
            <w:r>
              <w:rPr/>
              <w:t>Primary mechanism (process)</w:t>
            </w:r>
          </w:p>
        </w:tc>
        <w:tc>
          <w:tcPr>
            <w:tcW w:w="4013" w:type="dxa"/>
            <w:tcBorders/>
          </w:tcPr>
          <w:p>
            <w:pPr>
              <w:pStyle w:val="Compact"/>
              <w:spacing w:before="36" w:after="36"/>
              <w:rPr/>
            </w:pPr>
            <w:r>
              <w:rPr/>
              <w:t>Pragmatic reversal of an enablement message into a substitution reading.</w:t>
            </w:r>
          </w:p>
        </w:tc>
        <w:tc>
          <w:tcPr>
            <w:tcW w:w="3411" w:type="dxa"/>
            <w:tcBorders/>
          </w:tcPr>
          <w:p>
            <w:pPr>
              <w:pStyle w:val="Compact"/>
              <w:spacing w:before="36" w:after="36"/>
              <w:rPr/>
            </w:pPr>
            <w:r>
              <w:rPr/>
              <w:t>Mechanism 1; generates the initial frame</w:t>
            </w:r>
          </w:p>
        </w:tc>
        <w:tc>
          <w:tcPr>
            <w:tcW w:w="1366" w:type="dxa"/>
            <w:tcBorders/>
          </w:tcPr>
          <w:p>
            <w:pPr>
              <w:pStyle w:val="Compact"/>
              <w:spacing w:before="36" w:after="36"/>
              <w:rPr/>
            </w:pPr>
            <w:r>
              <w:rPr/>
              <w:t>§2.3</w:t>
            </w:r>
          </w:p>
        </w:tc>
      </w:tr>
      <w:tr>
        <w:trPr/>
        <w:tc>
          <w:tcPr>
            <w:tcW w:w="2391" w:type="dxa"/>
            <w:tcBorders/>
          </w:tcPr>
          <w:p>
            <w:pPr>
              <w:pStyle w:val="Compact"/>
              <w:spacing w:before="36" w:after="36"/>
              <w:rPr/>
            </w:pPr>
            <w:r>
              <w:rPr/>
              <w:t>AI-as-substitute frame</w:t>
            </w:r>
          </w:p>
        </w:tc>
        <w:tc>
          <w:tcPr>
            <w:tcW w:w="1779" w:type="dxa"/>
            <w:tcBorders/>
          </w:tcPr>
          <w:p>
            <w:pPr>
              <w:pStyle w:val="Compact"/>
              <w:spacing w:before="36" w:after="36"/>
              <w:rPr/>
            </w:pPr>
            <w:r>
              <w:rPr/>
              <w:t>Primary construct</w:t>
            </w:r>
          </w:p>
        </w:tc>
        <w:tc>
          <w:tcPr>
            <w:tcW w:w="4013" w:type="dxa"/>
            <w:tcBorders/>
          </w:tcPr>
          <w:p>
            <w:pPr>
              <w:pStyle w:val="Compact"/>
              <w:spacing w:before="36" w:after="36"/>
              <w:rPr/>
            </w:pPr>
            <w:r>
              <w:rPr/>
              <w:t>Interpretive frame reading AI implementation as evidence of role substitution, absorption, or downgrading.</w:t>
            </w:r>
          </w:p>
        </w:tc>
        <w:tc>
          <w:tcPr>
            <w:tcW w:w="3411" w:type="dxa"/>
            <w:tcBorders/>
          </w:tcPr>
          <w:p>
            <w:pPr>
              <w:pStyle w:val="Compact"/>
              <w:spacing w:before="36" w:after="36"/>
              <w:rPr/>
            </w:pPr>
            <w:r>
              <w:rPr/>
              <w:t>Output of Mechanism 1; interpretive input to appraisal</w:t>
            </w:r>
          </w:p>
        </w:tc>
        <w:tc>
          <w:tcPr>
            <w:tcW w:w="1366" w:type="dxa"/>
            <w:tcBorders/>
          </w:tcPr>
          <w:p>
            <w:pPr>
              <w:pStyle w:val="Compact"/>
              <w:spacing w:before="36" w:after="36"/>
              <w:rPr/>
            </w:pPr>
            <w:r>
              <w:rPr/>
              <w:t>§1.2; §2.3.6</w:t>
            </w:r>
          </w:p>
        </w:tc>
      </w:tr>
      <w:tr>
        <w:trPr/>
        <w:tc>
          <w:tcPr>
            <w:tcW w:w="2391" w:type="dxa"/>
            <w:tcBorders/>
          </w:tcPr>
          <w:p>
            <w:pPr>
              <w:pStyle w:val="Compact"/>
              <w:spacing w:before="36" w:after="36"/>
              <w:rPr/>
            </w:pPr>
            <w:r>
              <w:rPr/>
              <w:t>Role threat appraisal</w:t>
            </w:r>
          </w:p>
        </w:tc>
        <w:tc>
          <w:tcPr>
            <w:tcW w:w="1779" w:type="dxa"/>
            <w:tcBorders/>
          </w:tcPr>
          <w:p>
            <w:pPr>
              <w:pStyle w:val="Compact"/>
              <w:spacing w:before="36" w:after="36"/>
              <w:rPr/>
            </w:pPr>
            <w:r>
              <w:rPr/>
              <w:t>Primary construct</w:t>
            </w:r>
          </w:p>
        </w:tc>
        <w:tc>
          <w:tcPr>
            <w:tcW w:w="4013" w:type="dxa"/>
            <w:tcBorders/>
          </w:tcPr>
          <w:p>
            <w:pPr>
              <w:pStyle w:val="Compact"/>
              <w:spacing w:before="36" w:after="36"/>
              <w:rPr/>
            </w:pPr>
            <w:r>
              <w:rPr/>
              <w:t>Self-referential appraisal that valued components of one’s own role are endangered.</w:t>
            </w:r>
          </w:p>
        </w:tc>
        <w:tc>
          <w:tcPr>
            <w:tcW w:w="3411" w:type="dxa"/>
            <w:tcBorders/>
          </w:tcPr>
          <w:p>
            <w:pPr>
              <w:pStyle w:val="Compact"/>
              <w:spacing w:before="36" w:after="36"/>
              <w:rPr/>
            </w:pPr>
            <w:r>
              <w:rPr/>
              <w:t>Threat-pathway appraisal; a driver of response mode</w:t>
            </w:r>
          </w:p>
        </w:tc>
        <w:tc>
          <w:tcPr>
            <w:tcW w:w="1366" w:type="dxa"/>
            <w:tcBorders/>
          </w:tcPr>
          <w:p>
            <w:pPr>
              <w:pStyle w:val="Compact"/>
              <w:spacing w:before="36" w:after="36"/>
              <w:rPr/>
            </w:pPr>
            <w:r>
              <w:rPr/>
              <w:t>§2.4.1; §3.3</w:t>
            </w:r>
          </w:p>
        </w:tc>
      </w:tr>
      <w:tr>
        <w:trPr/>
        <w:tc>
          <w:tcPr>
            <w:tcW w:w="2391" w:type="dxa"/>
            <w:tcBorders/>
          </w:tcPr>
          <w:p>
            <w:pPr>
              <w:pStyle w:val="Compact"/>
              <w:spacing w:before="36" w:after="36"/>
              <w:rPr/>
            </w:pPr>
            <w:r>
              <w:rPr/>
              <w:t>Role opportunity appraisal</w:t>
            </w:r>
          </w:p>
        </w:tc>
        <w:tc>
          <w:tcPr>
            <w:tcW w:w="1779" w:type="dxa"/>
            <w:tcBorders/>
          </w:tcPr>
          <w:p>
            <w:pPr>
              <w:pStyle w:val="Compact"/>
              <w:spacing w:before="36" w:after="36"/>
              <w:rPr/>
            </w:pPr>
            <w:r>
              <w:rPr/>
              <w:t>Primary construct</w:t>
            </w:r>
          </w:p>
        </w:tc>
        <w:tc>
          <w:tcPr>
            <w:tcW w:w="4013" w:type="dxa"/>
            <w:tcBorders/>
          </w:tcPr>
          <w:p>
            <w:pPr>
              <w:pStyle w:val="Compact"/>
              <w:spacing w:before="36" w:after="36"/>
              <w:rPr/>
            </w:pPr>
            <w:r>
              <w:rPr/>
              <w:t>Challenge appraisal, role-specified: appraisal that role components can be extended, elevated, or redefined.</w:t>
            </w:r>
          </w:p>
        </w:tc>
        <w:tc>
          <w:tcPr>
            <w:tcW w:w="3411" w:type="dxa"/>
            <w:tcBorders/>
          </w:tcPr>
          <w:p>
            <w:pPr>
              <w:pStyle w:val="Compact"/>
              <w:spacing w:before="36" w:after="36"/>
              <w:rPr/>
            </w:pPr>
            <w:r>
              <w:rPr/>
              <w:t>Opportunity-pathway appraisal; source of genuine integration</w:t>
            </w:r>
          </w:p>
        </w:tc>
        <w:tc>
          <w:tcPr>
            <w:tcW w:w="1366" w:type="dxa"/>
            <w:tcBorders/>
          </w:tcPr>
          <w:p>
            <w:pPr>
              <w:pStyle w:val="Compact"/>
              <w:spacing w:before="36" w:after="36"/>
              <w:rPr/>
            </w:pPr>
            <w:r>
              <w:rPr/>
              <w:t>§2.4.1–2.4.2; §3.3</w:t>
            </w:r>
          </w:p>
        </w:tc>
      </w:tr>
      <w:tr>
        <w:trPr/>
        <w:tc>
          <w:tcPr>
            <w:tcW w:w="2391" w:type="dxa"/>
            <w:tcBorders/>
          </w:tcPr>
          <w:p>
            <w:pPr>
              <w:pStyle w:val="Compact"/>
              <w:spacing w:before="36" w:after="36"/>
              <w:rPr/>
            </w:pPr>
            <w:r>
              <w:rPr/>
              <w:t>AI-interactive role sensemaking loop</w:t>
            </w:r>
          </w:p>
        </w:tc>
        <w:tc>
          <w:tcPr>
            <w:tcW w:w="1779" w:type="dxa"/>
            <w:tcBorders/>
          </w:tcPr>
          <w:p>
            <w:pPr>
              <w:pStyle w:val="Compact"/>
              <w:spacing w:before="36" w:after="36"/>
              <w:rPr/>
            </w:pPr>
            <w:r>
              <w:rPr/>
              <w:t>Primary mechanism (process)</w:t>
            </w:r>
          </w:p>
        </w:tc>
        <w:tc>
          <w:tcPr>
            <w:tcW w:w="4013" w:type="dxa"/>
            <w:tcBorders/>
          </w:tcPr>
          <w:p>
            <w:pPr>
              <w:pStyle w:val="Compact"/>
              <w:spacing w:before="36" w:after="36"/>
              <w:rPr/>
            </w:pPr>
            <w:r>
              <w:rPr/>
              <w:t>Recursive probe → cue → updated-appraisal process, incorporating artifact-generated and socially transmitted cues.</w:t>
            </w:r>
          </w:p>
        </w:tc>
        <w:tc>
          <w:tcPr>
            <w:tcW w:w="3411" w:type="dxa"/>
            <w:tcBorders/>
          </w:tcPr>
          <w:p>
            <w:pPr>
              <w:pStyle w:val="Compact"/>
              <w:spacing w:before="36" w:after="36"/>
              <w:rPr/>
            </w:pPr>
            <w:r>
              <w:rPr/>
              <w:t>Mechanism 2; entrenches, oscillates, or reverses the frame and appraisals</w:t>
            </w:r>
          </w:p>
        </w:tc>
        <w:tc>
          <w:tcPr>
            <w:tcW w:w="1366" w:type="dxa"/>
            <w:tcBorders/>
          </w:tcPr>
          <w:p>
            <w:pPr>
              <w:pStyle w:val="Compact"/>
              <w:spacing w:before="36" w:after="36"/>
              <w:rPr/>
            </w:pPr>
            <w:r>
              <w:rPr/>
              <w:t>§2.5</w:t>
            </w:r>
          </w:p>
        </w:tc>
      </w:tr>
      <w:tr>
        <w:trPr/>
        <w:tc>
          <w:tcPr>
            <w:tcW w:w="2391" w:type="dxa"/>
            <w:tcBorders/>
          </w:tcPr>
          <w:p>
            <w:pPr>
              <w:pStyle w:val="Compact"/>
              <w:spacing w:before="36" w:after="36"/>
              <w:rPr/>
            </w:pPr>
            <w:r>
              <w:rPr/>
              <w:t>Perceived role vulnerability</w:t>
            </w:r>
          </w:p>
        </w:tc>
        <w:tc>
          <w:tcPr>
            <w:tcW w:w="1779" w:type="dxa"/>
            <w:tcBorders/>
          </w:tcPr>
          <w:p>
            <w:pPr>
              <w:pStyle w:val="Compact"/>
              <w:spacing w:before="36" w:after="36"/>
              <w:rPr/>
            </w:pPr>
            <w:r>
              <w:rPr/>
              <w:t>Contextual antecedent</w:t>
            </w:r>
          </w:p>
        </w:tc>
        <w:tc>
          <w:tcPr>
            <w:tcW w:w="4013" w:type="dxa"/>
            <w:tcBorders/>
          </w:tcPr>
          <w:p>
            <w:pPr>
              <w:pStyle w:val="Compact"/>
              <w:spacing w:before="36" w:after="36"/>
              <w:rPr/>
            </w:pPr>
            <w:r>
              <w:rPr/>
              <w:t>Baseline sense that one’s role is exposed to substitution.</w:t>
            </w:r>
          </w:p>
        </w:tc>
        <w:tc>
          <w:tcPr>
            <w:tcW w:w="3411" w:type="dxa"/>
            <w:tcBorders/>
          </w:tcPr>
          <w:p>
            <w:pPr>
              <w:pStyle w:val="Compact"/>
              <w:spacing w:before="36" w:after="36"/>
              <w:rPr/>
            </w:pPr>
            <w:r>
              <w:rPr/>
              <w:t>Raises the baseline probability of backfire</w:t>
            </w:r>
          </w:p>
        </w:tc>
        <w:tc>
          <w:tcPr>
            <w:tcW w:w="1366" w:type="dxa"/>
            <w:tcBorders/>
          </w:tcPr>
          <w:p>
            <w:pPr>
              <w:pStyle w:val="Compact"/>
              <w:spacing w:before="36" w:after="36"/>
              <w:rPr/>
            </w:pPr>
            <w:r>
              <w:rPr/>
              <w:t>§2.3.5</w:t>
            </w:r>
          </w:p>
        </w:tc>
      </w:tr>
      <w:tr>
        <w:trPr/>
        <w:tc>
          <w:tcPr>
            <w:tcW w:w="2391" w:type="dxa"/>
            <w:tcBorders/>
          </w:tcPr>
          <w:p>
            <w:pPr>
              <w:pStyle w:val="Compact"/>
              <w:spacing w:before="36" w:after="36"/>
              <w:rPr/>
            </w:pPr>
            <w:r>
              <w:rPr/>
              <w:t>Participation in implementation decisions</w:t>
            </w:r>
          </w:p>
        </w:tc>
        <w:tc>
          <w:tcPr>
            <w:tcW w:w="1779" w:type="dxa"/>
            <w:tcBorders/>
          </w:tcPr>
          <w:p>
            <w:pPr>
              <w:pStyle w:val="Compact"/>
              <w:spacing w:before="36" w:after="36"/>
              <w:rPr/>
            </w:pPr>
            <w:r>
              <w:rPr/>
              <w:t>Contextual antecedent</w:t>
            </w:r>
          </w:p>
        </w:tc>
        <w:tc>
          <w:tcPr>
            <w:tcW w:w="4013" w:type="dxa"/>
            <w:tcBorders/>
          </w:tcPr>
          <w:p>
            <w:pPr>
              <w:pStyle w:val="Compact"/>
              <w:spacing w:before="36" w:after="36"/>
              <w:rPr/>
            </w:pPr>
            <w:r>
              <w:rPr/>
              <w:t>Involvement in decisions about how AI is introduced and used.</w:t>
            </w:r>
          </w:p>
        </w:tc>
        <w:tc>
          <w:tcPr>
            <w:tcW w:w="3411" w:type="dxa"/>
            <w:tcBorders/>
          </w:tcPr>
          <w:p>
            <w:pPr>
              <w:pStyle w:val="Compact"/>
              <w:spacing w:before="36" w:after="36"/>
              <w:rPr/>
            </w:pPr>
            <w:r>
              <w:rPr/>
              <w:t>Narrows the interpretive gap; direct antecedent of opportunity appraisal</w:t>
            </w:r>
          </w:p>
        </w:tc>
        <w:tc>
          <w:tcPr>
            <w:tcW w:w="1366" w:type="dxa"/>
            <w:tcBorders/>
          </w:tcPr>
          <w:p>
            <w:pPr>
              <w:pStyle w:val="Compact"/>
              <w:spacing w:before="36" w:after="36"/>
              <w:rPr/>
            </w:pPr>
            <w:r>
              <w:rPr/>
              <w:t>§2.3.2; §2.4.2</w:t>
            </w:r>
          </w:p>
        </w:tc>
      </w:tr>
      <w:tr>
        <w:trPr/>
        <w:tc>
          <w:tcPr>
            <w:tcW w:w="2391" w:type="dxa"/>
            <w:tcBorders/>
          </w:tcPr>
          <w:p>
            <w:pPr>
              <w:pStyle w:val="Compact"/>
              <w:spacing w:before="36" w:after="36"/>
              <w:rPr/>
            </w:pPr>
            <w:r>
              <w:rPr/>
              <w:t>Word–deed consistency</w:t>
            </w:r>
          </w:p>
        </w:tc>
        <w:tc>
          <w:tcPr>
            <w:tcW w:w="1779" w:type="dxa"/>
            <w:tcBorders/>
          </w:tcPr>
          <w:p>
            <w:pPr>
              <w:pStyle w:val="Compact"/>
              <w:spacing w:before="36" w:after="36"/>
              <w:rPr/>
            </w:pPr>
            <w:r>
              <w:rPr/>
              <w:t>Contextual antecedent</w:t>
            </w:r>
          </w:p>
        </w:tc>
        <w:tc>
          <w:tcPr>
            <w:tcW w:w="4013" w:type="dxa"/>
            <w:tcBorders/>
          </w:tcPr>
          <w:p>
            <w:pPr>
              <w:pStyle w:val="Compact"/>
              <w:spacing w:before="36" w:after="36"/>
              <w:rPr/>
            </w:pPr>
            <w:r>
              <w:rPr/>
              <w:t>Alignment between enablement rhetoric and observable organizational action.</w:t>
            </w:r>
          </w:p>
        </w:tc>
        <w:tc>
          <w:tcPr>
            <w:tcW w:w="3411" w:type="dxa"/>
            <w:tcBorders/>
          </w:tcPr>
          <w:p>
            <w:pPr>
              <w:pStyle w:val="Compact"/>
              <w:spacing w:before="36" w:after="36"/>
              <w:rPr/>
            </w:pPr>
            <w:r>
              <w:rPr/>
              <w:t>Inconsistency recodes the narrative as concealment; consistency warrants opportunity appraisal</w:t>
            </w:r>
          </w:p>
        </w:tc>
        <w:tc>
          <w:tcPr>
            <w:tcW w:w="1366" w:type="dxa"/>
            <w:tcBorders/>
          </w:tcPr>
          <w:p>
            <w:pPr>
              <w:pStyle w:val="Compact"/>
              <w:spacing w:before="36" w:after="36"/>
              <w:rPr/>
            </w:pPr>
            <w:r>
              <w:rPr/>
              <w:t>§2.3.4; §2.4.2</w:t>
            </w:r>
          </w:p>
        </w:tc>
      </w:tr>
      <w:tr>
        <w:trPr/>
        <w:tc>
          <w:tcPr>
            <w:tcW w:w="2391" w:type="dxa"/>
            <w:tcBorders/>
          </w:tcPr>
          <w:p>
            <w:pPr>
              <w:pStyle w:val="Compact"/>
              <w:spacing w:before="36" w:after="36"/>
              <w:rPr/>
            </w:pPr>
            <w:r>
              <w:rPr/>
              <w:t>Organizational trust</w:t>
            </w:r>
          </w:p>
        </w:tc>
        <w:tc>
          <w:tcPr>
            <w:tcW w:w="1779" w:type="dxa"/>
            <w:tcBorders/>
          </w:tcPr>
          <w:p>
            <w:pPr>
              <w:pStyle w:val="Compact"/>
              <w:spacing w:before="36" w:after="36"/>
              <w:rPr/>
            </w:pPr>
            <w:r>
              <w:rPr/>
              <w:t>Boundary condition</w:t>
            </w:r>
          </w:p>
        </w:tc>
        <w:tc>
          <w:tcPr>
            <w:tcW w:w="4013" w:type="dxa"/>
            <w:tcBorders/>
          </w:tcPr>
          <w:p>
            <w:pPr>
              <w:pStyle w:val="Compact"/>
              <w:spacing w:before="36" w:after="36"/>
              <w:rPr/>
            </w:pPr>
            <w:r>
              <w:rPr/>
              <w:t>Perceived ability, benevolence, and integrity of management.</w:t>
            </w:r>
          </w:p>
        </w:tc>
        <w:tc>
          <w:tcPr>
            <w:tcW w:w="3411" w:type="dxa"/>
            <w:tcBorders/>
          </w:tcPr>
          <w:p>
            <w:pPr>
              <w:pStyle w:val="Compact"/>
              <w:spacing w:before="36" w:after="36"/>
              <w:rPr/>
            </w:pPr>
            <w:r>
              <w:rPr/>
              <w:t>Moderates the narrative → frame link</w:t>
            </w:r>
          </w:p>
        </w:tc>
        <w:tc>
          <w:tcPr>
            <w:tcW w:w="1366" w:type="dxa"/>
            <w:tcBorders/>
          </w:tcPr>
          <w:p>
            <w:pPr>
              <w:pStyle w:val="Compact"/>
              <w:spacing w:before="36" w:after="36"/>
              <w:rPr/>
            </w:pPr>
            <w:r>
              <w:rPr/>
              <w:t>§2.3.4</w:t>
            </w:r>
          </w:p>
        </w:tc>
      </w:tr>
      <w:tr>
        <w:trPr/>
        <w:tc>
          <w:tcPr>
            <w:tcW w:w="2391" w:type="dxa"/>
            <w:tcBorders/>
          </w:tcPr>
          <w:p>
            <w:pPr>
              <w:pStyle w:val="Compact"/>
              <w:spacing w:before="36" w:after="36"/>
              <w:rPr/>
            </w:pPr>
            <w:r>
              <w:rPr/>
              <w:t>Secondary appraisal resources</w:t>
            </w:r>
          </w:p>
        </w:tc>
        <w:tc>
          <w:tcPr>
            <w:tcW w:w="1779" w:type="dxa"/>
            <w:tcBorders/>
          </w:tcPr>
          <w:p>
            <w:pPr>
              <w:pStyle w:val="Compact"/>
              <w:spacing w:before="36" w:after="36"/>
              <w:rPr/>
            </w:pPr>
            <w:r>
              <w:rPr/>
              <w:t>Boundary condition</w:t>
            </w:r>
          </w:p>
        </w:tc>
        <w:tc>
          <w:tcPr>
            <w:tcW w:w="4013" w:type="dxa"/>
            <w:tcBorders/>
          </w:tcPr>
          <w:p>
            <w:pPr>
              <w:pStyle w:val="Compact"/>
              <w:spacing w:before="36" w:after="36"/>
              <w:rPr/>
            </w:pPr>
            <w:r>
              <w:rPr/>
              <w:t>Perceived coping resources for protecting or adapting the role.</w:t>
            </w:r>
          </w:p>
        </w:tc>
        <w:tc>
          <w:tcPr>
            <w:tcW w:w="3411" w:type="dxa"/>
            <w:tcBorders/>
          </w:tcPr>
          <w:p>
            <w:pPr>
              <w:pStyle w:val="Compact"/>
              <w:spacing w:before="36" w:after="36"/>
              <w:rPr/>
            </w:pPr>
            <w:r>
              <w:rPr/>
              <w:t>Moderates whether threat yields withdrawal or intensified engagement, and which mode results</w:t>
            </w:r>
          </w:p>
        </w:tc>
        <w:tc>
          <w:tcPr>
            <w:tcW w:w="1366" w:type="dxa"/>
            <w:tcBorders/>
          </w:tcPr>
          <w:p>
            <w:pPr>
              <w:pStyle w:val="Compact"/>
              <w:spacing w:before="36" w:after="36"/>
              <w:rPr/>
            </w:pPr>
            <w:r>
              <w:rPr/>
              <w:t>§2.4.1</w:t>
            </w:r>
          </w:p>
        </w:tc>
      </w:tr>
      <w:tr>
        <w:trPr/>
        <w:tc>
          <w:tcPr>
            <w:tcW w:w="2391" w:type="dxa"/>
            <w:tcBorders/>
          </w:tcPr>
          <w:p>
            <w:pPr>
              <w:pStyle w:val="Compact"/>
              <w:spacing w:before="36" w:after="36"/>
              <w:rPr/>
            </w:pPr>
            <w:r>
              <w:rPr/>
              <w:t>AI-generated cue credibility</w:t>
            </w:r>
          </w:p>
        </w:tc>
        <w:tc>
          <w:tcPr>
            <w:tcW w:w="1779" w:type="dxa"/>
            <w:tcBorders/>
          </w:tcPr>
          <w:p>
            <w:pPr>
              <w:pStyle w:val="Compact"/>
              <w:spacing w:before="36" w:after="36"/>
              <w:rPr/>
            </w:pPr>
            <w:r>
              <w:rPr/>
              <w:t>Boundary condition</w:t>
            </w:r>
          </w:p>
        </w:tc>
        <w:tc>
          <w:tcPr>
            <w:tcW w:w="4013" w:type="dxa"/>
            <w:tcBorders/>
          </w:tcPr>
          <w:p>
            <w:pPr>
              <w:pStyle w:val="Compact"/>
              <w:spacing w:before="36" w:after="36"/>
              <w:rPr/>
            </w:pPr>
            <w:r>
              <w:rPr/>
              <w:t>Degree to which AI-generated cues are credited as valid role evidence.</w:t>
            </w:r>
          </w:p>
        </w:tc>
        <w:tc>
          <w:tcPr>
            <w:tcW w:w="3411" w:type="dxa"/>
            <w:tcBorders/>
          </w:tcPr>
          <w:p>
            <w:pPr>
              <w:pStyle w:val="Compact"/>
              <w:spacing w:before="36" w:after="36"/>
              <w:rPr/>
            </w:pPr>
            <w:r>
              <w:rPr/>
              <w:t>Moderates the cue → appraisal-update link within the loop</w:t>
            </w:r>
          </w:p>
        </w:tc>
        <w:tc>
          <w:tcPr>
            <w:tcW w:w="1366" w:type="dxa"/>
            <w:tcBorders/>
          </w:tcPr>
          <w:p>
            <w:pPr>
              <w:pStyle w:val="Compact"/>
              <w:spacing w:before="36" w:after="36"/>
              <w:rPr/>
            </w:pPr>
            <w:r>
              <w:rPr/>
              <w:t>§2.5.4</w:t>
            </w:r>
          </w:p>
        </w:tc>
      </w:tr>
      <w:tr>
        <w:trPr/>
        <w:tc>
          <w:tcPr>
            <w:tcW w:w="2391" w:type="dxa"/>
            <w:tcBorders/>
          </w:tcPr>
          <w:p>
            <w:pPr>
              <w:pStyle w:val="Compact"/>
              <w:spacing w:before="36" w:after="36"/>
              <w:rPr/>
            </w:pPr>
            <w:r>
              <w:rPr/>
              <w:t>Modes of adoption response</w:t>
            </w:r>
          </w:p>
        </w:tc>
        <w:tc>
          <w:tcPr>
            <w:tcW w:w="1779" w:type="dxa"/>
            <w:tcBorders/>
          </w:tcPr>
          <w:p>
            <w:pPr>
              <w:pStyle w:val="Compact"/>
              <w:spacing w:before="36" w:after="36"/>
              <w:rPr/>
            </w:pPr>
            <w:r>
              <w:rPr/>
              <w:t>Terminal outcome</w:t>
            </w:r>
          </w:p>
        </w:tc>
        <w:tc>
          <w:tcPr>
            <w:tcW w:w="4013" w:type="dxa"/>
            <w:tcBorders/>
          </w:tcPr>
          <w:p>
            <w:pPr>
              <w:pStyle w:val="Compact"/>
              <w:spacing w:before="36" w:after="36"/>
              <w:rPr/>
            </w:pPr>
            <w:r>
              <w:rPr/>
              <w:t>Avoidance, compliance-only use, defensive adoption, or genuine integration.</w:t>
            </w:r>
          </w:p>
        </w:tc>
        <w:tc>
          <w:tcPr>
            <w:tcW w:w="3411" w:type="dxa"/>
            <w:tcBorders/>
          </w:tcPr>
          <w:p>
            <w:pPr>
              <w:pStyle w:val="Compact"/>
              <w:spacing w:before="36" w:after="36"/>
              <w:rPr/>
            </w:pPr>
            <w:r>
              <w:rPr/>
              <w:t>Terminal outcome; a kind of response, not a level of use</w:t>
            </w:r>
          </w:p>
        </w:tc>
        <w:tc>
          <w:tcPr>
            <w:tcW w:w="1366" w:type="dxa"/>
            <w:tcBorders/>
          </w:tcPr>
          <w:p>
            <w:pPr>
              <w:pStyle w:val="Compact"/>
              <w:spacing w:before="36" w:after="36"/>
              <w:rPr/>
            </w:pPr>
            <w:r>
              <w:rPr/>
              <w:t>§3.4</w:t>
            </w:r>
          </w:p>
        </w:tc>
      </w:tr>
    </w:tbl>
    <w:p>
      <w:pPr>
        <w:sectPr>
          <w:type w:val="nextPage"/>
          <w:pgSz w:orient="landscape" w:w="15840" w:h="12240"/>
          <w:pgMar w:left="1440" w:right="1440" w:gutter="0" w:header="0" w:top="1440" w:footer="0" w:bottom="1440"/>
          <w:pgNumType w:fmt="decimal"/>
          <w:formProt w:val="false"/>
          <w:textDirection w:val="lrTb"/>
          <w:docGrid w:type="default" w:linePitch="360" w:charSpace="0"/>
        </w:sectPr>
      </w:pPr>
    </w:p>
    <w:p>
      <w:pPr>
        <w:pStyle w:val="Heading2"/>
        <w:ind w:hanging="0" w:start="0"/>
        <w:rPr/>
      </w:pPr>
      <w:bookmarkStart w:id="33" w:name="mechanisms-constructs-and-tiers"/>
      <w:bookmarkEnd w:id="33"/>
      <w:r>
        <w:rPr/>
        <w:t>3.3 Components of the two role appraisals</w:t>
      </w:r>
    </w:p>
    <w:p>
      <w:pPr>
        <w:pStyle w:val="FirstParagraph"/>
        <w:rPr/>
      </w:pPr>
      <w:r>
        <w:rPr/>
        <w:t xml:space="preserve">Each appraisal is specified through named components, so that an appraisal can be </w:t>
      </w:r>
      <w:r>
        <w:rPr>
          <w:i/>
          <w:iCs/>
        </w:rPr>
        <w:t>partial</w:t>
      </w:r>
      <w:r>
        <w:rPr/>
        <w:t xml:space="preserve">—endangering some role components while leaving others intact, or opening some while others feel threatened. This componential structure matters for the propositions in Section 4, because different cues bear on different components: a demonstration of a core task speaks to occupational identity and the market value of expertise, whereas a restructuring announcement speaks to employment security. Table 2 lists the components. Longer-horizon </w:t>
      </w:r>
      <w:r>
        <w:rPr>
          <w:i/>
          <w:iCs/>
        </w:rPr>
        <w:t>employability</w:t>
      </w:r>
      <w:r>
        <w:rPr/>
        <w:t xml:space="preserve"> is treated as a related but distinct concern rather than as a fifth threat component, because it is appraised against the external labor market rather than against the present role.</w:t>
      </w:r>
    </w:p>
    <w:p>
      <w:pPr>
        <w:pStyle w:val="BodyText"/>
        <w:rPr/>
      </w:pPr>
      <w:r>
        <w:rPr>
          <w:b/>
          <w:bCs/>
        </w:rPr>
        <w:t>Table 2.</w:t>
      </w:r>
      <w:r>
        <w:rPr/>
        <w:t xml:space="preserve"> </w:t>
      </w:r>
      <w:r>
        <w:rPr>
          <w:i/>
          <w:iCs/>
        </w:rPr>
        <w:t>Components of role threat and role opportunity appraisal.</w:t>
      </w:r>
    </w:p>
    <w:tbl>
      <w:tblPr>
        <w:tblW w:w="4850" w:type="pct"/>
        <w:jc w:val="start"/>
        <w:tblInd w:w="0" w:type="dxa"/>
        <w:tblLayout w:type="fixed"/>
        <w:tblCellMar>
          <w:top w:w="0" w:type="dxa"/>
          <w:start w:w="108" w:type="dxa"/>
          <w:bottom w:w="0" w:type="dxa"/>
          <w:end w:w="108" w:type="dxa"/>
        </w:tblCellMar>
      </w:tblPr>
      <w:tblGrid>
        <w:gridCol w:w="3353"/>
        <w:gridCol w:w="5726"/>
      </w:tblGrid>
      <w:tr>
        <w:trPr>
          <w:tblHeader w:val="true"/>
        </w:trPr>
        <w:tc>
          <w:tcPr>
            <w:tcW w:w="3353" w:type="dxa"/>
            <w:tcBorders>
              <w:bottom w:val="single" w:sz="6" w:space="0" w:color="000000"/>
            </w:tcBorders>
            <w:vAlign w:val="bottom"/>
          </w:tcPr>
          <w:p>
            <w:pPr>
              <w:pStyle w:val="Compact"/>
              <w:spacing w:before="36" w:after="36"/>
              <w:rPr/>
            </w:pPr>
            <w:r>
              <w:rPr/>
              <w:t>Component</w:t>
            </w:r>
          </w:p>
        </w:tc>
        <w:tc>
          <w:tcPr>
            <w:tcW w:w="5726" w:type="dxa"/>
            <w:tcBorders>
              <w:bottom w:val="single" w:sz="6" w:space="0" w:color="000000"/>
            </w:tcBorders>
            <w:vAlign w:val="bottom"/>
          </w:tcPr>
          <w:p>
            <w:pPr>
              <w:pStyle w:val="Compact"/>
              <w:spacing w:before="36" w:after="36"/>
              <w:rPr/>
            </w:pPr>
            <w:r>
              <w:rPr/>
              <w:t>What is appraised</w:t>
            </w:r>
          </w:p>
        </w:tc>
      </w:tr>
      <w:tr>
        <w:trPr/>
        <w:tc>
          <w:tcPr>
            <w:tcW w:w="3353" w:type="dxa"/>
            <w:tcBorders/>
          </w:tcPr>
          <w:p>
            <w:pPr>
              <w:pStyle w:val="Compact"/>
              <w:spacing w:before="36" w:after="36"/>
              <w:rPr>
                <w:b/>
                <w:bCs/>
                <w:i/>
                <w:i/>
                <w:iCs/>
              </w:rPr>
            </w:pPr>
            <w:r>
              <w:rPr>
                <w:b/>
                <w:bCs/>
                <w:i/>
                <w:iCs/>
              </w:rPr>
              <w:t>Role threat appraisal — endangered components</w:t>
            </w:r>
          </w:p>
        </w:tc>
        <w:tc>
          <w:tcPr>
            <w:tcW w:w="5726" w:type="dxa"/>
            <w:tcBorders/>
          </w:tcPr>
          <w:p>
            <w:pPr>
              <w:pStyle w:val="Compact"/>
              <w:snapToGrid w:val="false"/>
              <w:spacing w:before="36" w:after="36"/>
              <w:rPr>
                <w:b/>
                <w:bCs/>
                <w:i/>
                <w:i/>
                <w:iCs/>
              </w:rPr>
            </w:pPr>
            <w:r>
              <w:rPr>
                <w:b/>
                <w:bCs/>
                <w:i/>
                <w:iCs/>
              </w:rPr>
            </w:r>
          </w:p>
        </w:tc>
      </w:tr>
      <w:tr>
        <w:trPr/>
        <w:tc>
          <w:tcPr>
            <w:tcW w:w="3353" w:type="dxa"/>
            <w:tcBorders/>
          </w:tcPr>
          <w:p>
            <w:pPr>
              <w:pStyle w:val="Compact"/>
              <w:spacing w:before="36" w:after="36"/>
              <w:rPr/>
            </w:pPr>
            <w:r>
              <w:rPr/>
              <w:t>Employment security</w:t>
            </w:r>
          </w:p>
        </w:tc>
        <w:tc>
          <w:tcPr>
            <w:tcW w:w="5726" w:type="dxa"/>
            <w:tcBorders/>
          </w:tcPr>
          <w:p>
            <w:pPr>
              <w:pStyle w:val="Compact"/>
              <w:spacing w:before="36" w:after="36"/>
              <w:rPr/>
            </w:pPr>
            <w:r>
              <w:rPr/>
              <w:t>Whether one’s job or headcount is at risk.</w:t>
            </w:r>
          </w:p>
        </w:tc>
      </w:tr>
      <w:tr>
        <w:trPr/>
        <w:tc>
          <w:tcPr>
            <w:tcW w:w="3353" w:type="dxa"/>
            <w:tcBorders/>
          </w:tcPr>
          <w:p>
            <w:pPr>
              <w:pStyle w:val="Compact"/>
              <w:spacing w:before="36" w:after="36"/>
              <w:rPr/>
            </w:pPr>
            <w:r>
              <w:rPr/>
              <w:t>Market value of expertise</w:t>
            </w:r>
          </w:p>
        </w:tc>
        <w:tc>
          <w:tcPr>
            <w:tcW w:w="5726" w:type="dxa"/>
            <w:tcBorders/>
          </w:tcPr>
          <w:p>
            <w:pPr>
              <w:pStyle w:val="Compact"/>
              <w:spacing w:before="36" w:after="36"/>
              <w:rPr/>
            </w:pPr>
            <w:r>
              <w:rPr/>
              <w:t>Whether the market value of one’s skills is being eroded.</w:t>
            </w:r>
          </w:p>
        </w:tc>
      </w:tr>
      <w:tr>
        <w:trPr/>
        <w:tc>
          <w:tcPr>
            <w:tcW w:w="3353" w:type="dxa"/>
            <w:tcBorders/>
          </w:tcPr>
          <w:p>
            <w:pPr>
              <w:pStyle w:val="Compact"/>
              <w:spacing w:before="36" w:after="36"/>
              <w:rPr/>
            </w:pPr>
            <w:r>
              <w:rPr/>
              <w:t>Role autonomy</w:t>
            </w:r>
          </w:p>
        </w:tc>
        <w:tc>
          <w:tcPr>
            <w:tcW w:w="5726" w:type="dxa"/>
            <w:tcBorders/>
          </w:tcPr>
          <w:p>
            <w:pPr>
              <w:pStyle w:val="Compact"/>
              <w:spacing w:before="36" w:after="36"/>
              <w:rPr/>
            </w:pPr>
            <w:r>
              <w:rPr/>
              <w:t>Whether discretion and control over how one works are being narrowed or standardized.</w:t>
            </w:r>
          </w:p>
        </w:tc>
      </w:tr>
      <w:tr>
        <w:trPr/>
        <w:tc>
          <w:tcPr>
            <w:tcW w:w="3353" w:type="dxa"/>
            <w:tcBorders/>
          </w:tcPr>
          <w:p>
            <w:pPr>
              <w:pStyle w:val="Compact"/>
              <w:spacing w:before="36" w:after="36"/>
              <w:rPr/>
            </w:pPr>
            <w:r>
              <w:rPr/>
              <w:t>Occupational identity and status</w:t>
            </w:r>
          </w:p>
        </w:tc>
        <w:tc>
          <w:tcPr>
            <w:tcW w:w="5726" w:type="dxa"/>
            <w:tcBorders/>
          </w:tcPr>
          <w:p>
            <w:pPr>
              <w:pStyle w:val="Compact"/>
              <w:spacing w:before="36" w:after="36"/>
              <w:rPr/>
            </w:pPr>
            <w:r>
              <w:rPr/>
              <w:t>Whether the distinctiveness, meaning, and standing of one’s role are being downgraded.</w:t>
            </w:r>
          </w:p>
        </w:tc>
      </w:tr>
      <w:tr>
        <w:trPr/>
        <w:tc>
          <w:tcPr>
            <w:tcW w:w="3353" w:type="dxa"/>
            <w:tcBorders/>
          </w:tcPr>
          <w:p>
            <w:pPr>
              <w:pStyle w:val="Compact"/>
              <w:spacing w:before="36" w:after="36"/>
              <w:rPr>
                <w:b/>
                <w:bCs/>
                <w:i/>
                <w:i/>
                <w:iCs/>
              </w:rPr>
            </w:pPr>
            <w:r>
              <w:rPr>
                <w:b/>
                <w:bCs/>
                <w:i/>
                <w:iCs/>
              </w:rPr>
              <w:t>Role opportunity appraisal — enabling components</w:t>
            </w:r>
          </w:p>
        </w:tc>
        <w:tc>
          <w:tcPr>
            <w:tcW w:w="5726" w:type="dxa"/>
            <w:tcBorders/>
          </w:tcPr>
          <w:p>
            <w:pPr>
              <w:pStyle w:val="Compact"/>
              <w:snapToGrid w:val="false"/>
              <w:spacing w:before="36" w:after="36"/>
              <w:rPr>
                <w:b/>
                <w:bCs/>
                <w:i/>
                <w:i/>
                <w:iCs/>
              </w:rPr>
            </w:pPr>
            <w:r>
              <w:rPr>
                <w:b/>
                <w:bCs/>
                <w:i/>
                <w:iCs/>
              </w:rPr>
            </w:r>
          </w:p>
        </w:tc>
      </w:tr>
      <w:tr>
        <w:trPr/>
        <w:tc>
          <w:tcPr>
            <w:tcW w:w="3353" w:type="dxa"/>
            <w:tcBorders/>
          </w:tcPr>
          <w:p>
            <w:pPr>
              <w:pStyle w:val="Compact"/>
              <w:spacing w:before="36" w:after="36"/>
              <w:rPr/>
            </w:pPr>
            <w:r>
              <w:rPr/>
              <w:t>Role augmentation</w:t>
            </w:r>
          </w:p>
        </w:tc>
        <w:tc>
          <w:tcPr>
            <w:tcW w:w="5726" w:type="dxa"/>
            <w:tcBorders/>
          </w:tcPr>
          <w:p>
            <w:pPr>
              <w:pStyle w:val="Compact"/>
              <w:spacing w:before="36" w:after="36"/>
              <w:rPr/>
            </w:pPr>
            <w:r>
              <w:rPr/>
              <w:t>Whether AI widens the range of tasks one can accomplish.</w:t>
            </w:r>
          </w:p>
        </w:tc>
      </w:tr>
      <w:tr>
        <w:trPr/>
        <w:tc>
          <w:tcPr>
            <w:tcW w:w="3353" w:type="dxa"/>
            <w:tcBorders/>
          </w:tcPr>
          <w:p>
            <w:pPr>
              <w:pStyle w:val="Compact"/>
              <w:spacing w:before="36" w:after="36"/>
              <w:rPr/>
            </w:pPr>
            <w:r>
              <w:rPr/>
              <w:t>Role elevation</w:t>
            </w:r>
          </w:p>
        </w:tc>
        <w:tc>
          <w:tcPr>
            <w:tcW w:w="5726" w:type="dxa"/>
            <w:tcBorders/>
          </w:tcPr>
          <w:p>
            <w:pPr>
              <w:pStyle w:val="Compact"/>
              <w:spacing w:before="36" w:after="36"/>
              <w:rPr/>
            </w:pPr>
            <w:r>
              <w:rPr/>
              <w:t>Whether AI absorbs lower-value tasks, shifting one toward judgment, relational, creative, or strategic work.</w:t>
            </w:r>
          </w:p>
        </w:tc>
      </w:tr>
      <w:tr>
        <w:trPr/>
        <w:tc>
          <w:tcPr>
            <w:tcW w:w="3353" w:type="dxa"/>
            <w:tcBorders/>
          </w:tcPr>
          <w:p>
            <w:pPr>
              <w:pStyle w:val="Compact"/>
              <w:spacing w:before="36" w:after="36"/>
              <w:rPr/>
            </w:pPr>
            <w:r>
              <w:rPr/>
              <w:t>Role reinvention</w:t>
            </w:r>
          </w:p>
        </w:tc>
        <w:tc>
          <w:tcPr>
            <w:tcW w:w="5726" w:type="dxa"/>
            <w:tcBorders/>
          </w:tcPr>
          <w:p>
            <w:pPr>
              <w:pStyle w:val="Compact"/>
              <w:spacing w:before="36" w:after="36"/>
              <w:rPr/>
            </w:pPr>
            <w:r>
              <w:rPr/>
              <w:t>Whether AI capability can be built into a redefined professional identity and a new basis of role value.</w:t>
            </w:r>
          </w:p>
        </w:tc>
      </w:tr>
    </w:tbl>
    <w:p>
      <w:pPr>
        <w:pStyle w:val="Heading2"/>
        <w:ind w:hanging="0" w:start="0"/>
        <w:rPr/>
      </w:pPr>
      <w:bookmarkStart w:id="34" w:name="components-of-the-two-role-appraisals"/>
      <w:bookmarkEnd w:id="34"/>
      <w:r>
        <w:rPr/>
        <w:t>3.4 A taxonomy of adoption response modes</w:t>
      </w:r>
    </w:p>
    <w:p>
      <w:pPr>
        <w:pStyle w:val="FirstParagraph"/>
        <w:rPr/>
      </w:pPr>
      <w:r>
        <w:rPr/>
        <w:t xml:space="preserve">The paper’s third contribution is formalized here. Rather than a single point on an adoption-intention scale, the outcome is a set of qualitatively distinct modes distinguished by their </w:t>
      </w:r>
      <w:r>
        <w:rPr>
          <w:i/>
          <w:iCs/>
        </w:rPr>
        <w:t>driver</w:t>
      </w:r>
      <w:r>
        <w:rPr/>
        <w:t xml:space="preserve">, their </w:t>
      </w:r>
      <w:r>
        <w:rPr>
          <w:i/>
          <w:iCs/>
        </w:rPr>
        <w:t>behavioral depth</w:t>
      </w:r>
      <w:r>
        <w:rPr/>
        <w:t xml:space="preserve">, and the </w:t>
      </w:r>
      <w:r>
        <w:rPr>
          <w:i/>
          <w:iCs/>
        </w:rPr>
        <w:t>role meaning</w:t>
      </w:r>
      <w:r>
        <w:rPr/>
        <w:t xml:space="preserve"> they express. Table 3 presents the taxonomy; three distinctions do the analytic work. First, avoidance and compliance-only use are both low in engagement, but avoidance is self-chosen refusal where the employee can decline, whereas compliance-only use is externally mandated and undertaken only to satisfy a requirement; in Figure 1, the italic label </w:t>
      </w:r>
      <w:r>
        <w:rPr>
          <w:i/>
          <w:iCs/>
        </w:rPr>
        <w:t>(external mandate)</w:t>
      </w:r>
      <w:r>
        <w:rPr/>
        <w:t xml:space="preserve"> attached to the compliance-only-use mode marks precisely this condition, under which role threat issues in compliance-only use rather than in avoidance or defensive adoption. Second, compliance-only use and defensive adoption can look alike behaviorally once engagement is mandated, but compliance carries no protective motive while defensive adoption is threat-driven and self-protective. Third, defensive adoption and genuine integration can resemble each other in volume yet differ in driver (threat vs. opportunity) and in depth (shallow and unstable vs. deep and stable); genuine integration is the one mode not reachable from threat alone, arising instead from a role opportunity appraisal or a successful reappraisal achieved through the loop. Because the drivers are motivational states, the taxonomy is rendered falsifiable through the behavioral signatures each driver implies—discretionary excess versus mandated minimum, depth versus volume, and threat-contingent versus opportunity-anchored stability. Modes are therefore classified by observable use trajectories, while motives remain the explanatory mechanism rather than the classification criterion; Section 4 states the mode propositions in these observable terms.</w:t>
      </w:r>
    </w:p>
    <w:p>
      <w:pPr>
        <w:pStyle w:val="BodyText"/>
        <w:rPr/>
      </w:pPr>
      <w:r>
        <w:rPr>
          <w:b/>
          <w:bCs/>
        </w:rPr>
        <w:t>Table 3.</w:t>
      </w:r>
      <w:r>
        <w:rPr/>
        <w:t xml:space="preserve"> </w:t>
      </w:r>
      <w:r>
        <w:rPr>
          <w:i/>
          <w:iCs/>
        </w:rPr>
        <w:t>A taxonomy of adoption response modes.</w:t>
      </w:r>
    </w:p>
    <w:tbl>
      <w:tblPr>
        <w:tblW w:w="4900" w:type="pct"/>
        <w:jc w:val="start"/>
        <w:tblInd w:w="0" w:type="dxa"/>
        <w:tblLayout w:type="fixed"/>
        <w:tblCellMar>
          <w:top w:w="0" w:type="dxa"/>
          <w:start w:w="108" w:type="dxa"/>
          <w:bottom w:w="0" w:type="dxa"/>
          <w:end w:w="108" w:type="dxa"/>
        </w:tblCellMar>
      </w:tblPr>
      <w:tblGrid>
        <w:gridCol w:w="1453"/>
        <w:gridCol w:w="1415"/>
        <w:gridCol w:w="1683"/>
        <w:gridCol w:w="1590"/>
        <w:gridCol w:w="1590"/>
        <w:gridCol w:w="1441"/>
      </w:tblGrid>
      <w:tr>
        <w:trPr>
          <w:tblHeader w:val="true"/>
        </w:trPr>
        <w:tc>
          <w:tcPr>
            <w:tcW w:w="1453" w:type="dxa"/>
            <w:tcBorders>
              <w:bottom w:val="single" w:sz="6" w:space="0" w:color="000000"/>
            </w:tcBorders>
            <w:vAlign w:val="bottom"/>
          </w:tcPr>
          <w:p>
            <w:pPr>
              <w:pStyle w:val="Compact"/>
              <w:spacing w:before="36" w:after="36"/>
              <w:rPr/>
            </w:pPr>
            <w:r>
              <w:rPr/>
              <w:t>Mode</w:t>
            </w:r>
          </w:p>
        </w:tc>
        <w:tc>
          <w:tcPr>
            <w:tcW w:w="1415" w:type="dxa"/>
            <w:tcBorders>
              <w:bottom w:val="single" w:sz="6" w:space="0" w:color="000000"/>
            </w:tcBorders>
            <w:vAlign w:val="bottom"/>
          </w:tcPr>
          <w:p>
            <w:pPr>
              <w:pStyle w:val="Compact"/>
              <w:spacing w:before="36" w:after="36"/>
              <w:rPr/>
            </w:pPr>
            <w:r>
              <w:rPr/>
              <w:t>Primary driver</w:t>
            </w:r>
          </w:p>
        </w:tc>
        <w:tc>
          <w:tcPr>
            <w:tcW w:w="1683" w:type="dxa"/>
            <w:tcBorders>
              <w:bottom w:val="single" w:sz="6" w:space="0" w:color="000000"/>
            </w:tcBorders>
            <w:vAlign w:val="bottom"/>
          </w:tcPr>
          <w:p>
            <w:pPr>
              <w:pStyle w:val="Compact"/>
              <w:spacing w:before="36" w:after="36"/>
              <w:rPr/>
            </w:pPr>
            <w:r>
              <w:rPr/>
              <w:t>Discretion / mandate</w:t>
            </w:r>
          </w:p>
        </w:tc>
        <w:tc>
          <w:tcPr>
            <w:tcW w:w="1590" w:type="dxa"/>
            <w:tcBorders>
              <w:bottom w:val="single" w:sz="6" w:space="0" w:color="000000"/>
            </w:tcBorders>
            <w:vAlign w:val="bottom"/>
          </w:tcPr>
          <w:p>
            <w:pPr>
              <w:pStyle w:val="Compact"/>
              <w:spacing w:before="36" w:after="36"/>
              <w:rPr/>
            </w:pPr>
            <w:r>
              <w:rPr/>
              <w:t>Behavioral depth</w:t>
            </w:r>
          </w:p>
        </w:tc>
        <w:tc>
          <w:tcPr>
            <w:tcW w:w="1590" w:type="dxa"/>
            <w:tcBorders>
              <w:bottom w:val="single" w:sz="6" w:space="0" w:color="000000"/>
            </w:tcBorders>
            <w:vAlign w:val="bottom"/>
          </w:tcPr>
          <w:p>
            <w:pPr>
              <w:pStyle w:val="Compact"/>
              <w:spacing w:before="36" w:after="36"/>
              <w:rPr/>
            </w:pPr>
            <w:r>
              <w:rPr/>
              <w:t>Underlying role meaning</w:t>
            </w:r>
          </w:p>
        </w:tc>
        <w:tc>
          <w:tcPr>
            <w:tcW w:w="1441" w:type="dxa"/>
            <w:tcBorders>
              <w:bottom w:val="single" w:sz="6" w:space="0" w:color="000000"/>
            </w:tcBorders>
            <w:vAlign w:val="bottom"/>
          </w:tcPr>
          <w:p>
            <w:pPr>
              <w:pStyle w:val="Compact"/>
              <w:spacing w:before="36" w:after="36"/>
              <w:rPr/>
            </w:pPr>
            <w:r>
              <w:rPr/>
              <w:t>Appraisal / coping source</w:t>
            </w:r>
          </w:p>
        </w:tc>
      </w:tr>
      <w:tr>
        <w:trPr/>
        <w:tc>
          <w:tcPr>
            <w:tcW w:w="1453" w:type="dxa"/>
            <w:tcBorders/>
          </w:tcPr>
          <w:p>
            <w:pPr>
              <w:pStyle w:val="Compact"/>
              <w:spacing w:before="36" w:after="36"/>
              <w:rPr/>
            </w:pPr>
            <w:r>
              <w:rPr/>
              <w:t>Avoidance</w:t>
            </w:r>
          </w:p>
        </w:tc>
        <w:tc>
          <w:tcPr>
            <w:tcW w:w="1415" w:type="dxa"/>
            <w:tcBorders/>
          </w:tcPr>
          <w:p>
            <w:pPr>
              <w:pStyle w:val="Compact"/>
              <w:spacing w:before="36" w:after="36"/>
              <w:rPr/>
            </w:pPr>
            <w:r>
              <w:rPr/>
              <w:t>Role threat under low perceived coping resources</w:t>
            </w:r>
          </w:p>
        </w:tc>
        <w:tc>
          <w:tcPr>
            <w:tcW w:w="1683" w:type="dxa"/>
            <w:tcBorders/>
          </w:tcPr>
          <w:p>
            <w:pPr>
              <w:pStyle w:val="Compact"/>
              <w:spacing w:before="36" w:after="36"/>
              <w:rPr/>
            </w:pPr>
            <w:r>
              <w:rPr/>
              <w:t>High discretion: the employee can decline</w:t>
            </w:r>
          </w:p>
        </w:tc>
        <w:tc>
          <w:tcPr>
            <w:tcW w:w="1590" w:type="dxa"/>
            <w:tcBorders/>
          </w:tcPr>
          <w:p>
            <w:pPr>
              <w:pStyle w:val="Compact"/>
              <w:spacing w:before="36" w:after="36"/>
              <w:rPr/>
            </w:pPr>
            <w:r>
              <w:rPr/>
              <w:t>Low: refusal, delay, or minimal use</w:t>
            </w:r>
          </w:p>
        </w:tc>
        <w:tc>
          <w:tcPr>
            <w:tcW w:w="1590" w:type="dxa"/>
            <w:tcBorders/>
          </w:tcPr>
          <w:p>
            <w:pPr>
              <w:pStyle w:val="Compact"/>
              <w:spacing w:before="36" w:after="36"/>
              <w:rPr/>
            </w:pPr>
            <w:r>
              <w:rPr/>
              <w:t>AI as danger to the role</w:t>
            </w:r>
          </w:p>
        </w:tc>
        <w:tc>
          <w:tcPr>
            <w:tcW w:w="1441" w:type="dxa"/>
            <w:tcBorders/>
          </w:tcPr>
          <w:p>
            <w:pPr>
              <w:pStyle w:val="Compact"/>
              <w:spacing w:before="36" w:after="36"/>
              <w:rPr/>
            </w:pPr>
            <w:r>
              <w:rPr/>
              <w:t>Threat appraisal + low secondary appraisal resources</w:t>
            </w:r>
          </w:p>
        </w:tc>
      </w:tr>
      <w:tr>
        <w:trPr/>
        <w:tc>
          <w:tcPr>
            <w:tcW w:w="1453" w:type="dxa"/>
            <w:tcBorders/>
          </w:tcPr>
          <w:p>
            <w:pPr>
              <w:pStyle w:val="Compact"/>
              <w:spacing w:before="36" w:after="36"/>
              <w:rPr/>
            </w:pPr>
            <w:r>
              <w:rPr/>
              <w:t>Compliance-only use</w:t>
            </w:r>
          </w:p>
        </w:tc>
        <w:tc>
          <w:tcPr>
            <w:tcW w:w="1415" w:type="dxa"/>
            <w:tcBorders/>
          </w:tcPr>
          <w:p>
            <w:pPr>
              <w:pStyle w:val="Compact"/>
              <w:spacing w:before="36" w:after="36"/>
              <w:rPr/>
            </w:pPr>
            <w:r>
              <w:rPr/>
              <w:t>External mandate, not internalized</w:t>
            </w:r>
          </w:p>
        </w:tc>
        <w:tc>
          <w:tcPr>
            <w:tcW w:w="1683" w:type="dxa"/>
            <w:tcBorders/>
          </w:tcPr>
          <w:p>
            <w:pPr>
              <w:pStyle w:val="Compact"/>
              <w:spacing w:before="36" w:after="36"/>
              <w:rPr/>
            </w:pPr>
            <w:r>
              <w:rPr/>
              <w:t>Low discretion: use is mandated</w:t>
            </w:r>
          </w:p>
        </w:tc>
        <w:tc>
          <w:tcPr>
            <w:tcW w:w="1590" w:type="dxa"/>
            <w:tcBorders/>
          </w:tcPr>
          <w:p>
            <w:pPr>
              <w:pStyle w:val="Compact"/>
              <w:spacing w:before="36" w:after="36"/>
              <w:rPr/>
            </w:pPr>
            <w:r>
              <w:rPr/>
              <w:t>Shallow: satisfies a requirement; no protective intent</w:t>
            </w:r>
          </w:p>
        </w:tc>
        <w:tc>
          <w:tcPr>
            <w:tcW w:w="1590" w:type="dxa"/>
            <w:tcBorders/>
          </w:tcPr>
          <w:p>
            <w:pPr>
              <w:pStyle w:val="Compact"/>
              <w:spacing w:before="36" w:after="36"/>
              <w:rPr/>
            </w:pPr>
            <w:r>
              <w:rPr/>
              <w:t>AI as imposed requirement</w:t>
            </w:r>
          </w:p>
        </w:tc>
        <w:tc>
          <w:tcPr>
            <w:tcW w:w="1441" w:type="dxa"/>
            <w:tcBorders/>
          </w:tcPr>
          <w:p>
            <w:pPr>
              <w:pStyle w:val="Compact"/>
              <w:spacing w:before="36" w:after="36"/>
              <w:rPr/>
            </w:pPr>
            <w:r>
              <w:rPr/>
              <w:t>Mandate; no protective motive</w:t>
            </w:r>
          </w:p>
        </w:tc>
      </w:tr>
      <w:tr>
        <w:trPr/>
        <w:tc>
          <w:tcPr>
            <w:tcW w:w="1453" w:type="dxa"/>
            <w:tcBorders/>
          </w:tcPr>
          <w:p>
            <w:pPr>
              <w:pStyle w:val="Compact"/>
              <w:spacing w:before="36" w:after="36"/>
              <w:rPr/>
            </w:pPr>
            <w:r>
              <w:rPr/>
              <w:t>Defensive adoption</w:t>
            </w:r>
          </w:p>
        </w:tc>
        <w:tc>
          <w:tcPr>
            <w:tcW w:w="1415" w:type="dxa"/>
            <w:tcBorders/>
          </w:tcPr>
          <w:p>
            <w:pPr>
              <w:pStyle w:val="Compact"/>
              <w:spacing w:before="36" w:after="36"/>
              <w:rPr/>
            </w:pPr>
            <w:r>
              <w:rPr/>
              <w:t>Role threat with a protective motive</w:t>
            </w:r>
          </w:p>
        </w:tc>
        <w:tc>
          <w:tcPr>
            <w:tcW w:w="1683" w:type="dxa"/>
            <w:tcBorders/>
          </w:tcPr>
          <w:p>
            <w:pPr>
              <w:pStyle w:val="Compact"/>
              <w:spacing w:before="36" w:after="36"/>
              <w:rPr/>
            </w:pPr>
            <w:r>
              <w:rPr/>
              <w:t>Self-initiated, often beyond what is mandated</w:t>
            </w:r>
          </w:p>
        </w:tc>
        <w:tc>
          <w:tcPr>
            <w:tcW w:w="1590" w:type="dxa"/>
            <w:tcBorders/>
          </w:tcPr>
          <w:p>
            <w:pPr>
              <w:pStyle w:val="Compact"/>
              <w:spacing w:before="36" w:after="36"/>
              <w:rPr/>
            </w:pPr>
            <w:r>
              <w:rPr/>
              <w:t>Medium–high in volume but often shallow and unstable</w:t>
            </w:r>
          </w:p>
        </w:tc>
        <w:tc>
          <w:tcPr>
            <w:tcW w:w="1590" w:type="dxa"/>
            <w:tcBorders/>
          </w:tcPr>
          <w:p>
            <w:pPr>
              <w:pStyle w:val="Compact"/>
              <w:spacing w:before="36" w:after="36"/>
              <w:rPr/>
            </w:pPr>
            <w:r>
              <w:rPr/>
              <w:t>AI as survival tool—remaining indispensable</w:t>
            </w:r>
          </w:p>
        </w:tc>
        <w:tc>
          <w:tcPr>
            <w:tcW w:w="1441" w:type="dxa"/>
            <w:tcBorders/>
          </w:tcPr>
          <w:p>
            <w:pPr>
              <w:pStyle w:val="Compact"/>
              <w:spacing w:before="36" w:after="36"/>
              <w:rPr/>
            </w:pPr>
            <w:r>
              <w:rPr/>
              <w:t>Threat appraisal + adequate secondary appraisal resources (high coping efficacy)</w:t>
            </w:r>
          </w:p>
        </w:tc>
      </w:tr>
      <w:tr>
        <w:trPr/>
        <w:tc>
          <w:tcPr>
            <w:tcW w:w="1453" w:type="dxa"/>
            <w:tcBorders/>
          </w:tcPr>
          <w:p>
            <w:pPr>
              <w:pStyle w:val="Compact"/>
              <w:spacing w:before="36" w:after="36"/>
              <w:rPr/>
            </w:pPr>
            <w:r>
              <w:rPr/>
              <w:t>Genuine integration</w:t>
            </w:r>
          </w:p>
        </w:tc>
        <w:tc>
          <w:tcPr>
            <w:tcW w:w="1415" w:type="dxa"/>
            <w:tcBorders/>
          </w:tcPr>
          <w:p>
            <w:pPr>
              <w:pStyle w:val="Compact"/>
              <w:spacing w:before="36" w:after="36"/>
              <w:rPr/>
            </w:pPr>
            <w:r>
              <w:rPr/>
              <w:t>Role opportunity appraisal or successful reappraisal</w:t>
            </w:r>
          </w:p>
        </w:tc>
        <w:tc>
          <w:tcPr>
            <w:tcW w:w="1683" w:type="dxa"/>
            <w:tcBorders/>
          </w:tcPr>
          <w:p>
            <w:pPr>
              <w:pStyle w:val="Compact"/>
              <w:spacing w:before="36" w:after="36"/>
              <w:rPr/>
            </w:pPr>
            <w:r>
              <w:rPr/>
              <w:t>Voluntary internalization</w:t>
            </w:r>
          </w:p>
        </w:tc>
        <w:tc>
          <w:tcPr>
            <w:tcW w:w="1590" w:type="dxa"/>
            <w:tcBorders/>
          </w:tcPr>
          <w:p>
            <w:pPr>
              <w:pStyle w:val="Compact"/>
              <w:spacing w:before="36" w:after="36"/>
              <w:rPr/>
            </w:pPr>
            <w:r>
              <w:rPr/>
              <w:t>Deep and stable: incorporation into workflow and role; at its fullest, role redesign</w:t>
            </w:r>
          </w:p>
        </w:tc>
        <w:tc>
          <w:tcPr>
            <w:tcW w:w="1590" w:type="dxa"/>
            <w:tcBorders/>
          </w:tcPr>
          <w:p>
            <w:pPr>
              <w:pStyle w:val="Compact"/>
              <w:spacing w:before="36" w:after="36"/>
              <w:rPr/>
            </w:pPr>
            <w:r>
              <w:rPr/>
              <w:t>AI as role extension</w:t>
            </w:r>
          </w:p>
        </w:tc>
        <w:tc>
          <w:tcPr>
            <w:tcW w:w="1441" w:type="dxa"/>
            <w:tcBorders/>
          </w:tcPr>
          <w:p>
            <w:pPr>
              <w:pStyle w:val="Compact"/>
              <w:spacing w:before="36" w:after="36"/>
              <w:rPr/>
            </w:pPr>
            <w:r>
              <w:rPr/>
              <w:t>Opportunity appraisal / reappraisal via the loop—not threat alone</w:t>
            </w:r>
          </w:p>
        </w:tc>
      </w:tr>
    </w:tbl>
    <w:p>
      <w:pPr>
        <w:pStyle w:val="Heading2"/>
        <w:ind w:hanging="0" w:start="0"/>
        <w:rPr/>
      </w:pPr>
      <w:bookmarkStart w:id="35" w:name="a-taxonomy-of-adoption-response-modes"/>
      <w:bookmarkEnd w:id="35"/>
      <w:r>
        <w:rPr/>
        <w:t>3.5 How the tiers connect</w:t>
      </w:r>
    </w:p>
    <w:p>
      <w:pPr>
        <w:pStyle w:val="FirstParagraph"/>
        <w:rPr/>
      </w:pPr>
      <w:r>
        <w:rPr/>
        <w:t>Read together, Figure 1 and Tables 1–3 specify the framework’s logic: contextual antecedents and low organizational trust shape the likelihood of narrative backfire; boundary conditions moderate specific links along the path; role appraisals channel the employee into distinct response modes; and the AI-interactive role sensemaking loop recursively updates the appraisal before any response stabilizes. Section 4 translates this architecture into propositions, organized around the two mechanisms.</w:t>
      </w:r>
    </w:p>
    <w:p>
      <w:pPr>
        <w:pStyle w:val="Heading1"/>
        <w:ind w:hanging="0" w:start="0"/>
        <w:rPr/>
      </w:pPr>
      <w:bookmarkStart w:id="36" w:name="how-the-tiers-connect"/>
      <w:bookmarkStart w:id="37" w:name="conceptual-framework"/>
      <w:bookmarkEnd w:id="36"/>
      <w:bookmarkEnd w:id="37"/>
      <w:r>
        <w:rPr/>
        <w:t>4. Propositions</w:t>
      </w:r>
    </w:p>
    <w:p>
      <w:pPr>
        <w:pStyle w:val="FirstParagraph"/>
        <w:rPr/>
      </w:pPr>
      <w:r>
        <w:rPr/>
        <w:t>This section states the framework’s propositions. Consistent with the layered causal structure developed in Sections 2 and 3, they are conditional rather than bivariate: each specifies the conditions under which a link holds and, where relevant, the boundary condition that moderates it. They are organized around the two mechanisms—narrative reversal (Sections 4.1–4.2) and recursive cue production (Section 4.3)—and close with the mapping from appraisal to response mode (Section 4.4). Because role threat can issue in more than one response, the propositions are stated to differentiate response modes rather than to predict a single level of adoption.</w:t>
      </w:r>
    </w:p>
    <w:p>
      <w:pPr>
        <w:pStyle w:val="Heading2"/>
        <w:ind w:hanging="0" w:start="0"/>
        <w:rPr/>
      </w:pPr>
      <w:r>
        <w:rPr/>
        <w:t>4.1 From enablement narrative to the AI-as-substitute frame</w:t>
      </w:r>
    </w:p>
    <w:p>
      <w:pPr>
        <w:pStyle w:val="FirstParagraph"/>
        <w:rPr/>
      </w:pPr>
      <w:r>
        <w:rPr/>
        <w:t>Section 2.3 specified narrative reversal as a cumulative rather than conjunctive process. The propositions separate the properties of the message itself (P1, with its converse P1a) from the standing contextual conditions that amplify them (P2) and from the trust boundary condition that moderates the link (P3), so that the three tiers of Section 3 appear as three distinct propositional forms.</w:t>
      </w:r>
    </w:p>
    <w:p>
      <w:pPr>
        <w:pStyle w:val="BodyText"/>
        <w:rPr/>
      </w:pPr>
      <w:r>
        <w:rPr>
          <w:b/>
          <w:bCs/>
        </w:rPr>
        <w:t>P1.</w:t>
      </w:r>
      <w:r>
        <w:rPr/>
        <w:t xml:space="preserve"> </w:t>
      </w:r>
      <w:r>
        <w:rPr>
          <w:i/>
          <w:iCs/>
        </w:rPr>
        <w:t>The likelihood that an organizational enablement narrative is reversed into an AI-as-substitute frame increases with the degree to which the message is (i) pragmatically marked by reassurance, (ii) strategically ambiguous about which tasks and how many roles will remain, and (iii) euphemistically framed in efficiency vocabulary; each property independently increases the likelihood of a threat-consistent completion, and the co-occurrence of the three makes reversal more probable than any single property alone.</w:t>
      </w:r>
    </w:p>
    <w:p>
      <w:pPr>
        <w:pStyle w:val="BodyText"/>
        <w:rPr/>
      </w:pPr>
      <w:r>
        <w:rPr>
          <w:b/>
          <w:bCs/>
        </w:rPr>
        <w:t>P1a.</w:t>
      </w:r>
      <w:r>
        <w:rPr/>
        <w:t xml:space="preserve"> </w:t>
      </w:r>
      <w:r>
        <w:rPr>
          <w:i/>
          <w:iCs/>
        </w:rPr>
        <w:t>Conversely, the likelihood of reversal decreases with message specificity: enablement narratives that specify task scope, role consequences, and observable organizational commitments constrain threat-consistent completion, so that specificity operates as the message-level counterweight to the reversal properties stated in P1.</w:t>
      </w:r>
    </w:p>
    <w:p>
      <w:pPr>
        <w:pStyle w:val="BodyText"/>
        <w:rPr/>
      </w:pPr>
      <w:r>
        <w:rPr>
          <w:b/>
          <w:bCs/>
        </w:rPr>
        <w:t>P2.</w:t>
      </w:r>
      <w:r>
        <w:rPr/>
        <w:t xml:space="preserve"> </w:t>
      </w:r>
      <w:r>
        <w:rPr>
          <w:i/>
          <w:iCs/>
        </w:rPr>
        <w:t>These wording properties operate against contextual antecedents that raise the baseline probability of reversal: perceived role vulnerability, low participation in implementation decisions, and word–deed inconsistency between managerial rhetoric and observable organizational action each increase the likelihood that an enablement narrative is read through a substitution-oriented frame, and their co-occurrence further amplifies this likelihood.</w:t>
      </w:r>
    </w:p>
    <w:p>
      <w:pPr>
        <w:pStyle w:val="BodyText"/>
        <w:rPr/>
      </w:pPr>
      <w:r>
        <w:rPr>
          <w:b/>
          <w:bCs/>
        </w:rPr>
        <w:t>P3.</w:t>
      </w:r>
      <w:r>
        <w:rPr/>
        <w:t xml:space="preserve"> </w:t>
      </w:r>
      <w:r>
        <w:rPr>
          <w:i/>
          <w:iCs/>
        </w:rPr>
        <w:t>Organizational trust moderates the narrative-to-frame link: the reversal specified in P1 and amplified by P2 is stronger when trust—perceived ability, benevolence, and integrity—is low and is attenuated when trust is high, so that the same pragmatically marked message is more readily taken at face value under high trust.</w:t>
      </w:r>
    </w:p>
    <w:p>
      <w:pPr>
        <w:pStyle w:val="Heading2"/>
        <w:ind w:hanging="0" w:start="0"/>
        <w:rPr/>
      </w:pPr>
      <w:bookmarkStart w:id="38" w:name="Xadf6cffe37c3949bb7512e8f77b7e64a3182e62"/>
      <w:bookmarkEnd w:id="38"/>
      <w:r>
        <w:rPr/>
        <w:t>4.2 From the frame to role appraisal</w:t>
      </w:r>
    </w:p>
    <w:p>
      <w:pPr>
        <w:pStyle w:val="FirstParagraph"/>
        <w:rPr/>
      </w:pPr>
      <w:r>
        <w:rPr/>
        <w:t>The frame is an interpretation of the event; appraisal connects that interpretation to the self. Section 2.4.1 grounds the dual pathway in the transactional reading of appraisal, in which primary and secondary appraisal are interdependent processes that jointly determine whether an encounter stabilizes as threat or challenge, rather than sequential stages in which the frame fixes the appraisal before resources are assessed (Lazarus &amp; Folkman, 1984). The propositions preserve that reading: the frame biases appraisal toward threat without foreclosing the opportunity pathway (P4), and the opportunity pathway has direct antecedents of its own (P4a; Section 2.4.2).</w:t>
      </w:r>
    </w:p>
    <w:p>
      <w:pPr>
        <w:pStyle w:val="BodyText"/>
        <w:rPr/>
      </w:pPr>
      <w:r>
        <w:rPr>
          <w:b/>
          <w:bCs/>
        </w:rPr>
        <w:t>P4.</w:t>
      </w:r>
      <w:r>
        <w:rPr/>
        <w:t xml:space="preserve"> </w:t>
      </w:r>
      <w:r>
        <w:rPr>
          <w:i/>
          <w:iCs/>
        </w:rPr>
        <w:t>The AI-as-substitute frame biases primary appraisal toward threat and raises role threat appraisal on the specific role components it implicates—employment security, the market value of expertise, role autonomy, or occupational identity and status; whether the same encounter is also appraised as role opportunity depends jointly on secondary appraisal resources, not on the frame alone.</w:t>
      </w:r>
    </w:p>
    <w:p>
      <w:pPr>
        <w:pStyle w:val="BodyText"/>
        <w:rPr/>
      </w:pPr>
      <w:r>
        <w:rPr>
          <w:b/>
          <w:bCs/>
        </w:rPr>
        <w:t>P4a.</w:t>
      </w:r>
      <w:r>
        <w:rPr/>
        <w:t xml:space="preserve"> </w:t>
      </w:r>
      <w:r>
        <w:rPr>
          <w:i/>
          <w:iCs/>
        </w:rPr>
        <w:t>Role opportunity appraisal increases directly with three antecedents—participatory implementation, credible role-redesign commitment, and augmentation-configured demonstration—each of which supplies evidence that role components can be augmented, elevated, or reinvented; these antecedents raise role opportunity appraisal in their own right, not merely by lowering the probability of narrative reversal stated in P1–P2.</w:t>
      </w:r>
    </w:p>
    <w:p>
      <w:pPr>
        <w:pStyle w:val="Heading2"/>
        <w:ind w:hanging="0" w:start="0"/>
        <w:rPr/>
      </w:pPr>
      <w:bookmarkStart w:id="39" w:name="from-the-frame-to-role-appraisal"/>
      <w:bookmarkEnd w:id="39"/>
      <w:r>
        <w:rPr/>
        <w:t>4.3 The AI-interactive role sensemaking loop</w:t>
      </w:r>
    </w:p>
    <w:p>
      <w:pPr>
        <w:pStyle w:val="FirstParagraph"/>
        <w:rPr/>
      </w:pPr>
      <w:r>
        <w:rPr/>
        <w:t>The second mechanism concerns how appraisals are revised once the employee begins generating evidence. Sections 2.5 and 3 treat generative AI as a cue-generating artifact, distinguish two cue types, and specify cue credibility as a boundary condition; the propositions differentiate the two cue types and specify the coupling by which the initial frame biases its own revision. They are stated for artifact-generated cues—the channel the loop distinctively adds—with parallel effects expected for the socially transmitted cues specified in Section 2.5.6, moderated by source credibility rather than by the machine heuristic.</w:t>
      </w:r>
    </w:p>
    <w:p>
      <w:pPr>
        <w:pStyle w:val="BodyText"/>
        <w:rPr/>
      </w:pPr>
      <w:r>
        <w:rPr>
          <w:b/>
          <w:bCs/>
        </w:rPr>
        <w:t>P5.</w:t>
      </w:r>
      <w:r>
        <w:rPr/>
        <w:t xml:space="preserve"> </w:t>
      </w:r>
      <w:r>
        <w:rPr>
          <w:i/>
          <w:iCs/>
        </w:rPr>
        <w:t>Within the loop, an AI-generated cue shifts a role appraisal only to the extent that the employee credits it as valid evidence about the role; AI-generated cue credibility therefore moderates the cue-to-appraisal-update link, with the machine heuristic strengthening the cue’s influence on appraisal and awareness of the system’s unevenness weakening it.</w:t>
      </w:r>
    </w:p>
    <w:p>
      <w:pPr>
        <w:pStyle w:val="BodyText"/>
        <w:rPr/>
      </w:pPr>
      <w:r>
        <w:rPr>
          <w:b/>
          <w:bCs/>
        </w:rPr>
        <w:t>P6.</w:t>
      </w:r>
      <w:r>
        <w:rPr/>
        <w:t xml:space="preserve"> </w:t>
      </w:r>
      <w:r>
        <w:rPr>
          <w:i/>
          <w:iCs/>
        </w:rPr>
        <w:t>Holding cue credibility constant, demonstrative cues shift role appraisals more strongly than self-referential cues, and this difference widens as task-role overlap increases: a demonstration of a task central to the employee’s role moves appraisal more than a self-description of the same capability.</w:t>
      </w:r>
    </w:p>
    <w:p>
      <w:pPr>
        <w:pStyle w:val="BodyText"/>
        <w:rPr/>
      </w:pPr>
      <w:r>
        <w:rPr>
          <w:b/>
          <w:bCs/>
        </w:rPr>
        <w:t>P7.</w:t>
      </w:r>
      <w:r>
        <w:rPr/>
        <w:t xml:space="preserve"> </w:t>
      </w:r>
      <w:r>
        <w:rPr>
          <w:i/>
          <w:iCs/>
        </w:rPr>
        <w:t>The initial frame channels the loop: an AI-as-substitute frame directs probes toward role-overlapping tasks and biases interpretation of ambiguous cues toward threat. The loop’s trajectory then depends on the evidence returned and credited: (i) when credited cues consistently confirm the frame, the loop entrenches it; (ii) when the system’s uneven performance returns partially credited, conflicting evidence, the appraisal oscillates rather than settling; and (iii) when disconfirming evidence is both strong and credited, the loop reverses the frame. Role appraisals therefore remain revisable rather than fixed.</w:t>
      </w:r>
    </w:p>
    <w:p>
      <w:pPr>
        <w:pStyle w:val="Heading2"/>
        <w:ind w:hanging="0" w:start="0"/>
        <w:rPr/>
      </w:pPr>
      <w:bookmarkStart w:id="40" w:name="the-ai-interactive-role-sensemaking-loop"/>
      <w:bookmarkEnd w:id="40"/>
      <w:r>
        <w:rPr/>
        <w:t>4.4 From appraisal to modes of adoption response</w:t>
      </w:r>
    </w:p>
    <w:p>
      <w:pPr>
        <w:pStyle w:val="FirstParagraph"/>
        <w:rPr/>
      </w:pPr>
      <w:r>
        <w:rPr/>
        <w:t>The terminal step maps appraisal onto the taxonomy of Section 3.4. Because compliance-only use is driven by mandate rather than by appraisal, it is stated separately from the appraisal-driven modes.</w:t>
      </w:r>
    </w:p>
    <w:p>
      <w:pPr>
        <w:pStyle w:val="BodyText"/>
        <w:rPr/>
      </w:pPr>
      <w:r>
        <w:rPr>
          <w:b/>
          <w:bCs/>
        </w:rPr>
        <w:t>P8.</w:t>
      </w:r>
      <w:r>
        <w:rPr/>
        <w:t xml:space="preserve"> </w:t>
      </w:r>
      <w:r>
        <w:rPr>
          <w:i/>
          <w:iCs/>
        </w:rPr>
        <w:t>Under high role threat appraisal, where discretion is available, the level of secondary appraisal resources selects the response mode: low resources yield avoidance, observable as refusal, delay, or minimal engagement; adequate resources yield defensive adoption, observable as self-initiated use that exceeds what is mandated, is high in volume yet shallow in workflow integration, and recedes as the perceived threat recedes.</w:t>
      </w:r>
    </w:p>
    <w:p>
      <w:pPr>
        <w:pStyle w:val="BodyText"/>
        <w:rPr/>
      </w:pPr>
      <w:r>
        <w:rPr>
          <w:b/>
          <w:bCs/>
        </w:rPr>
        <w:t>P9.</w:t>
      </w:r>
      <w:r>
        <w:rPr/>
        <w:t xml:space="preserve"> </w:t>
      </w:r>
      <w:r>
        <w:rPr>
          <w:i/>
          <w:iCs/>
        </w:rPr>
        <w:t>External mandate produces compliance-only use when engagement is not internalized, observable as use that tracks the mandated minimum, does not extend to discretionary tasks, and lapses if the mandate is withdrawn.</w:t>
      </w:r>
    </w:p>
    <w:p>
      <w:pPr>
        <w:pStyle w:val="BodyText"/>
        <w:rPr/>
      </w:pPr>
      <w:r>
        <w:rPr>
          <w:b/>
          <w:bCs/>
        </w:rPr>
        <w:t>P9a.</w:t>
      </w:r>
      <w:r>
        <w:rPr/>
        <w:t xml:space="preserve"> </w:t>
      </w:r>
      <w:r>
        <w:rPr>
          <w:i/>
          <w:iCs/>
        </w:rPr>
        <w:t>Compliance-only use and defensive adoption can coincide in momentary behavior but diverge in trajectory: defensive adoption exceeds the mandated minimum, extends to discretionary tasks, and persists while the perceived threat persists, whereas compliance-only use exhibits none of these signatures; the two modes are therefore distinguishable by observed use trajectories rather than by momentary volume.</w:t>
      </w:r>
    </w:p>
    <w:p>
      <w:pPr>
        <w:pStyle w:val="BodyText"/>
        <w:rPr/>
      </w:pPr>
      <w:r>
        <w:rPr>
          <w:b/>
          <w:bCs/>
        </w:rPr>
        <w:t>P10.</w:t>
      </w:r>
      <w:r>
        <w:rPr/>
        <w:t xml:space="preserve"> </w:t>
      </w:r>
      <w:r>
        <w:rPr>
          <w:i/>
          <w:iCs/>
        </w:rPr>
        <w:t>Genuine integration arises from role opportunity appraisal or from a successful reappraisal achieved through the loop, not from role threat appraisal alone; accordingly, defensive adoption does not convert into genuine integration unless the loop produces a reappraisal that reframes the technology as a basis for role augmentation, elevation, or reinvention.</w:t>
      </w:r>
    </w:p>
    <w:p>
      <w:pPr>
        <w:pStyle w:val="Heading2"/>
        <w:ind w:hanging="0" w:start="0"/>
        <w:rPr/>
      </w:pPr>
      <w:bookmarkStart w:id="41" w:name="X8f10633ef2cafbf4be8cd8365e2c9efb2f94530"/>
      <w:bookmarkEnd w:id="41"/>
      <w:r>
        <w:rPr/>
        <w:t>4.5 Summary of the propositional structure</w:t>
      </w:r>
    </w:p>
    <w:p>
      <w:pPr>
        <w:pStyle w:val="FirstParagraph"/>
        <w:rPr/>
      </w:pPr>
      <w:r>
        <w:rPr/>
        <w:t>These propositions instantiate the framework’s layered logic. P1–P3 specify and bound the narrative-reversal mechanism, separating message properties (P1, with its converse P1a), contextual antecedents (P2), and the trust boundary condition (P3). P4 connects the resulting frame to a componential, dual-pathway appraisal, and P4a gives the opportunity pathway its own direct antecedents, so that the two pathways are propositionally as well as conceptually symmetrical. P5–P7 specify the recursive cue-production mechanism, differentiate demonstrative from self-referential cues, and state the three trajectories—entrenchment, oscillation, and reversal—by which the initial frame conditions its own revision. P8–P10, with P9a, map appraisal and mandate onto qualitatively distinct response modes and state the observable trajectory signatures that separate them. Together they render the framework’s central claim empirically tractable: divergent and unstable adoption responses to the same system follow not only from differences in the technology, but from how employees construct, and recursively revise, the meaning of that technology for their roles.</w:t>
      </w:r>
    </w:p>
    <w:p>
      <w:pPr>
        <w:pStyle w:val="Heading1"/>
        <w:ind w:hanging="0" w:start="0"/>
        <w:rPr/>
      </w:pPr>
      <w:bookmarkStart w:id="42" w:name="summary-of-the-propositional-structure"/>
      <w:bookmarkStart w:id="43" w:name="propositions"/>
      <w:bookmarkEnd w:id="42"/>
      <w:bookmarkEnd w:id="43"/>
      <w:r>
        <w:rPr/>
        <w:t>5. Discussion</w:t>
      </w:r>
    </w:p>
    <w:p>
      <w:pPr>
        <w:pStyle w:val="FirstParagraph"/>
        <w:rPr/>
      </w:pPr>
      <w:r>
        <w:rPr/>
        <w:t>The framework advances a single relocation: it moves the explanation of divergent employee responses to generative AI from the evaluation of technological attributes to the formation of role meaning. This section develops what that relocation contributes to four literatures, specifies the boundary conditions that scope the theory, indicates how its propositions can be tested, and closes with practical implications.</w:t>
      </w:r>
    </w:p>
    <w:p>
      <w:pPr>
        <w:pStyle w:val="Heading2"/>
        <w:ind w:hanging="0" w:start="0"/>
        <w:rPr/>
      </w:pPr>
      <w:r>
        <w:rPr/>
        <w:t>5.1 Theoretical contributions</w:t>
      </w:r>
    </w:p>
    <w:p>
      <w:pPr>
        <w:pStyle w:val="FirstParagraph"/>
        <w:rPr/>
      </w:pPr>
      <w:r>
        <w:rPr/>
        <w:t>The paper makes exactly three contributions—a mechanism of narrative reversal, a recursive cue-production account of generative AI sensemaking, and a response-mode taxonomy of adoption—and its theoretical apparatus is organized hierarchically in their service: technological frames and sensemaking form the backbone, appraisal and protection motivation theory the bridge, and the remaining literatures supporting materials for specific mechanism components (Section 2). Each contribution is developed below against the literatures it most directly advances; AI-threat research is advanced jointly by the second and third contributions rather than by a separate one.</w:t>
      </w:r>
    </w:p>
    <w:p>
      <w:pPr>
        <w:pStyle w:val="BodyText"/>
        <w:rPr/>
      </w:pPr>
      <w:r>
        <w:rPr>
          <w:b/>
          <w:bCs/>
        </w:rPr>
        <w:t>Contribution 1: a mechanism of narrative reversal (advancing technological frames and sensegiving research).</w:t>
      </w:r>
      <w:r>
        <w:rPr/>
        <w:t xml:space="preserve"> Frame research established that managers, technologists, and users hold divergent frames and that incongruence shapes implementation outcomes (Orlikowski &amp; Gash, 1994). The present framework specifies a more specific phenomenon: an explicitly positive managerial frame is not merely read differently but pragmatically reversed into a substitution signal. The contribution is the reversal mechanism itself—the pragmatic and discursive conditions (Section 2.3; P1–P3) under which reassurance, strategic ambiguity, and efficiency vocabulary turn an enablement message into evidence of substitution. The mechanism also sharpens the relation to sensegiving (Gioia &amp; Chittipeddi, 1991). Sensegiving </w:t>
      </w:r>
      <w:r>
        <w:rPr>
          <w:i/>
          <w:iCs/>
        </w:rPr>
        <w:t>failure</w:t>
      </w:r>
      <w:r>
        <w:rPr/>
        <w:t xml:space="preserve"> means the intended frame is not accepted; narrative </w:t>
      </w:r>
      <w:r>
        <w:rPr>
          <w:i/>
          <w:iCs/>
        </w:rPr>
        <w:t>backfire</w:t>
      </w:r>
      <w:r>
        <w:rPr/>
        <w:t xml:space="preserve"> means the intended message is accepted—as evidence for the opposite interpretation. The distinction is consequential because the remedies differ: failure calls for clearer or more persuasive sensegiving, whereas backfire implies that intensified reassurance can worsen the problem (P1, P1a). This extends frame research beyond documenting that frames differ to specifying how a positive frame can invert.</w:t>
      </w:r>
    </w:p>
    <w:p>
      <w:pPr>
        <w:pStyle w:val="BodyText"/>
        <w:rPr/>
      </w:pPr>
      <w:r>
        <w:rPr>
          <w:b/>
          <w:bCs/>
        </w:rPr>
        <w:t>Contribution 2: a recursive cue-production account of generative AI sensemaking (advancing sensemaking and AI-threat research).</w:t>
      </w:r>
      <w:r>
        <w:rPr/>
        <w:t xml:space="preserve"> Sensemaking research treats the technology as an object about which sense is made and, in its sensegiving variant, treats managers as the source of framing cues (Weick, 1995; Maitlis &amp; Christianson, 2014). The framework instead theorizes the artifact-generated outputs of the technology as a recursive source of role-relevant cues that employees enact, credit, and appraise against specific role components (Table 2). </w:t>
      </w:r>
      <w:r>
        <w:rPr>
          <w:i/>
          <w:iCs/>
        </w:rPr>
        <w:t>Recursive</w:t>
      </w:r>
      <w:r>
        <w:rPr/>
        <w:t xml:space="preserve"> here means more than </w:t>
      </w:r>
      <w:r>
        <w:rPr>
          <w:i/>
          <w:iCs/>
        </w:rPr>
        <w:t>iterative</w:t>
      </w:r>
      <w:r>
        <w:rPr/>
        <w:t>: the loop does not merely repeat interpretation across successive encounters; each updated appraisal changes the selection of the next probe, so the sampling of evidence is itself endogenous to the appraisal that the evidence feeds (P7). Extending enacted sensemaking (Weick, 1988) to a setting where the artifact generates cues on demand, this is where the recursive account does work that a one-time reception model cannot. The same account advances AI-threat research, which typically begins from perceived threat or treats the technology as a relatively fixed stimulus (Brougham &amp; Haar, 2018; Mirbabaie et al., 2022). Here threat is constructed and revisable: assembled from an organizational narrative, an interpretive frame, self-generated and socially transmitted cues, and the employee’s appraisal resources, it can entrench, oscillate, or reverse through the loop (P5–P7)—which explains why the same system produces divergent role appraisals across a workforce, and why those appraisals remain unstable rather than settling.</w:t>
      </w:r>
    </w:p>
    <w:p>
      <w:pPr>
        <w:pStyle w:val="BodyText"/>
        <w:rPr/>
      </w:pPr>
      <w:r>
        <w:rPr>
          <w:b/>
          <w:bCs/>
        </w:rPr>
        <w:t>Contribution 3: a response-mode view of adoption (advancing technology adoption research).</w:t>
      </w:r>
      <w:r>
        <w:rPr/>
        <w:t xml:space="preserve"> Adoption models treat perceived usefulness as an adoption-promoting attribute (Davis, 1989; Venkatesh et al., 2003). The framework identifies a scope condition under which this inverts: when the technology’s outputs overlap with identity-central tasks, high perceived usefulness can be the specific stimulus that raises role threat—usefulness read as replaceability (Section 2.1; P4, P6). Two departures follow. First, the interpretive step—what the implementation means for the role—is located upstream of attribute evaluation. Second, the outcome is reconceived as a mode of response rather than a level of intention (Section 3.4; P8–P10), because identical usage frequency can arise from entirely different motivations: an employee complying with a mandate and an employee using the system intensively to avoid appearing replaceable may register the same volume of use while enacting different modes with different trajectories and consequences. This also explains why the distinction between compliance-only use and defensive adoption has remained invisible to prior research: adoption studies measure intention or use volume, on which the two modes are observationally equivalent, and defensive use is often deliberately concealed (Gillespie et al., 2025), so it never surfaces in attributed usage metrics. The distinction becomes visible only when driver, depth, and trajectory are measured (P9, P9a)—which is precisely what the taxonomy requires.</w:t>
      </w:r>
    </w:p>
    <w:p>
      <w:pPr>
        <w:pStyle w:val="Heading2"/>
        <w:ind w:hanging="0" w:start="0"/>
        <w:rPr/>
      </w:pPr>
      <w:bookmarkStart w:id="44" w:name="theoretical-contributions"/>
      <w:bookmarkEnd w:id="44"/>
      <w:r>
        <w:rPr/>
        <w:t>5.2 Boundary conditions and scope</w:t>
      </w:r>
    </w:p>
    <w:p>
      <w:pPr>
        <w:pStyle w:val="FirstParagraph"/>
        <w:rPr/>
      </w:pPr>
      <w:r>
        <w:rPr/>
        <w:t>The theory is deliberately scoped. Its mechanisms are strongest where role consequences are uncertain, where the technology’s outputs overlap with identity-central knowledge work, and where the technology is queryable, demonstrable, and privately testable; where these conditions are weak—automation peripheral to role identity, or non-interactive systems—both mechanisms attenuate. The three boundary conditions also help delimit the theory rather than serving as incidental moderators: organizational trust shapes the likelihood and strength of narrative reversal (P3); secondary appraisal resources govern which response mode a given threat produces (P8); and AI-generated cue credibility governs whether a self-generated cue moves an appraisal within the loop (P5). Finally, the account concerns interpreted rather than objective substitution: it explains how employees construct the meaning of implementation, not whether generative AI in fact performs their tasks, and its claims should be read within that boundary. A further layer of scope concerns the institutional and occupational context, which the framework’s baseline probabilities implicitly presuppose. The mechanisms are articulated with a flexible, knowledge-work labor market in view. Employment protection legislation, collective representation, and occupational licensure systematically alter both the credibility of the substitution reading and the resources available in secondary appraisal: where dismissal is legally difficult, unions are present, or licensure walls off task domains, the AI-as-substitute frame is less plausible on its face and coping resources are institutionally supplemented, lowering the baseline probability of reversal (P2) and shifting the distribution of threat-driven modes (P8) away from avoidance and defensive adoption; where employment is at-will and roles are unlicensed, the reverse holds. These institutional parameters are best treated as context factors that calibrate the propositions’ baseline probabilities rather than as additional constructs, and comparative designs across institutional regimes and occupational categories are a natural extension of the empirical agenda below. The framework is therefore not intended as a general theory of all AI implementation, but of implementations in which generative AI is interpreted through role consequences.</w:t>
      </w:r>
    </w:p>
    <w:p>
      <w:pPr>
        <w:pStyle w:val="Heading2"/>
        <w:ind w:hanging="0" w:start="0"/>
        <w:rPr/>
      </w:pPr>
      <w:bookmarkStart w:id="45" w:name="boundary-conditions-and-scope"/>
      <w:bookmarkEnd w:id="45"/>
      <w:r>
        <w:rPr/>
        <w:t>5.3 Directions for empirical research</w:t>
      </w:r>
    </w:p>
    <w:p>
      <w:pPr>
        <w:pStyle w:val="FirstParagraph"/>
        <w:rPr/>
      </w:pPr>
      <w:r>
        <w:rPr/>
        <w:t>The propositions are framed to be testable, and several constructs already have measurement precedents—job insecurity and STARA awareness for perceived role vulnerability, the machine-heuristic scale for cue credibility (Yang &amp; Sundar, 2024), and established instruments for organizational trust (Mayer et al., 1995). Three design implications follow. First, the narrative-reversal propositions (P1–P3) invite experimental manipulation of message properties—reassurance, ambiguity, and efficiency framing—crossed with trust and role-vulnerability conditions. Second, the loop (P5–P7) is inherently temporal and recursive and therefore calls for within-person, over-time designs—diary or experience-sampling studies, or process tracing of actual employee–AI probing—rather than cross-sectional surveys, since the theoretical action is the updating of appraisal across successive probes. Third, distinguishing the four response modes (P8–P10, with the trajectory contrast in P9a) requires measuring the driver and depth of use, not its volume alone; separating defensive adoption from genuine integration, in particular, calls for measuring protective motive and the stability of use over time, since the two converge behaviorally but diverge in what sustains them. Methodologically, the loop’s within-person dynamics suit longitudinal structural equation modeling of appraisal trajectories, and the response-mode taxonomy suits latent transition analysis, which can model movement between modes—for example, from compliance-only use into defensive adoption as threat rises, or from defensive adoption into genuine integration following a successful reappraisal—over the course of an implementation.</w:t>
      </w:r>
    </w:p>
    <w:p>
      <w:pPr>
        <w:pStyle w:val="BodyText"/>
        <w:rPr/>
      </w:pPr>
      <w:r>
        <w:rPr/>
        <w:t xml:space="preserve">Because several central constructs are newly specified, empirical work will also need measures that distinguish interpretive frames from appraisals, and the distinction between the AI-as-substitute frame and role threat appraisal deserves particular care, because casually worded items for the two will be highly collinear. The discriminant criterion is referential: frame items refer to the </w:t>
      </w:r>
      <w:r>
        <w:rPr>
          <w:i/>
          <w:iCs/>
        </w:rPr>
        <w:t>meaning of the event</w:t>
      </w:r>
      <w:r>
        <w:rPr/>
        <w:t xml:space="preserve"> and contain no self-referential stake, whereas appraisal items refer to the respondent’s </w:t>
      </w:r>
      <w:r>
        <w:rPr>
          <w:i/>
          <w:iCs/>
        </w:rPr>
        <w:t>own role components</w:t>
      </w:r>
      <w:r>
        <w:rPr/>
        <w:t>. Illustrative frame items: “This implementation shows that the organization sees AI as a way of getting work of this kind done with fewer people”; “The way AI is being introduced here signals that roles like this one are being prepared for substitution”; “This rollout is evidence that AI is meant to absorb core parts of this kind of work.” Illustrative role threat appraisal items: “Because of this implementation, my own job security is at risk”; “This implementation is eroding the market value of my expertise”; “As a result of this implementation, I am losing discretion over how I do my work.” The two item sets should be separable in confirmatory factor analysis, and the framework predicts an asymmetry that itself supplies discriminant evidence: employees can endorse frame items while rejecting appraisal items—for example, where seniority, licensure, or a protected niche shields their own role—whereas high appraisal without the frame should be rare within the implementation context. If the two cannot be empirically separated along these lines, the framework’s claim that the frame mediates between narrative and appraisal would require revision toward a single-construct account. More broadly, role threat and role opportunity appraisals should be measured componentially, following Table 2, rather than as global evaluations. Adoption response modes, in turn, should be classified by combining use discretion, motive, behavioral depth, and stability, so that compliance-only use, defensive adoption, and genuine integration are not collapsed into the same category of “use.”</w:t>
      </w:r>
    </w:p>
    <w:p>
      <w:pPr>
        <w:pStyle w:val="Heading2"/>
        <w:ind w:hanging="0" w:start="0"/>
        <w:rPr/>
      </w:pPr>
      <w:bookmarkStart w:id="46" w:name="directions-for-empirical-research"/>
      <w:bookmarkEnd w:id="46"/>
      <w:r>
        <w:rPr/>
        <w:t>5.4 Practical implications</w:t>
      </w:r>
    </w:p>
    <w:p>
      <w:pPr>
        <w:pStyle w:val="FirstParagraph"/>
        <w:rPr/>
      </w:pPr>
      <w:r>
        <w:rPr/>
        <w:t>Because positive communication is not received as intended when employees perceive role vulnerability or low trust, and because employees will in any case generate their own role-relevant evidence by testing the technology, generative AI implementation is as much a matter of meaning management as of technical readiness or user training. The framework cautions, however, against reducing this to communication tactics: its mechanisms imply that trust, genuine participation, and consistency between managerial words and observable deeds shape interpretation more durably than message wording, and that the recursive loop places part of the interpretive process beyond managerial control.</w:t>
      </w:r>
    </w:p>
    <w:p>
      <w:pPr>
        <w:pStyle w:val="BodyText"/>
        <w:rPr/>
      </w:pPr>
      <w:r>
        <w:rPr/>
        <w:t>Three implications follow. First, reassurance alone is insufficient: messages emphasizing support and augmentation should be paired with specificity about task scope, role redesign, participation, and observable commitments, since vague reassurance can make substitution more rather than less salient. Second, because employees will privately test the system, organizations cannot fully control the loop but can shape it—through guided experimentation, role-specific use cases, and structured occasions to interpret collectively what AI demonstrations do and do not imply for role value. Third, organizations should diagnose the mode of adoption rather than infer success from usage volume: high use may reflect defensive adoption rather than genuine integration, and low use may reflect avoidance or a compliance-only minimum, so implementation metrics should attend to motive, depth, and stability of use.</w:t>
      </w:r>
    </w:p>
    <w:p>
      <w:pPr>
        <w:pStyle w:val="Heading1"/>
        <w:ind w:hanging="0" w:start="0"/>
        <w:rPr/>
      </w:pPr>
      <w:bookmarkStart w:id="47" w:name="practical-implications"/>
      <w:bookmarkStart w:id="48" w:name="discussion"/>
      <w:bookmarkEnd w:id="47"/>
      <w:bookmarkEnd w:id="48"/>
      <w:r>
        <w:rPr/>
        <w:t>6. Conclusion</w:t>
      </w:r>
    </w:p>
    <w:p>
      <w:pPr>
        <w:pStyle w:val="FirstParagraph"/>
        <w:rPr/>
      </w:pPr>
      <w:r>
        <w:rPr/>
        <w:t>This paper began from a simple observation: employees may resist generative AI before they meaningfully use it, because they first ask not whether the technology is useful but what its implementation means for their role. Building on that observation, the paper has relocated the explanation of divergent employee responses from the evaluation of technological attributes to the formation of role meaning, and has specified two coupled mechanisms through which that meaning forms.</w:t>
      </w:r>
    </w:p>
    <w:p>
      <w:pPr>
        <w:pStyle w:val="BodyText"/>
        <w:rPr/>
      </w:pPr>
      <w:r>
        <w:rPr/>
        <w:t>What distinguishes the account is neither mechanism alone but their coupling. A narrative can be pragmatically turned against its intent; the employee then adjudicates that reading against evidence of their own making, probing a system that answers back. The frame selects the probes, the probes return the cues, and the cues—filtered by trust, coping resources, and credibility—decide whether the frame entrenches, oscillates, or reverses. Because every step is tied to observable message properties, appraisal components, and use trajectories, the framework stakes claims that an empirical program can overturn. The most pointed of these is practical as well as theoretical: usage volume alone cannot distinguish an empowered workforce from a frightened one.</w:t>
      </w:r>
    </w:p>
    <w:p>
      <w:pPr>
        <w:pStyle w:val="BodyText"/>
        <w:rPr>
          <w:lang w:eastAsia="zh-TW"/>
        </w:rPr>
      </w:pPr>
      <w:r>
        <w:rPr/>
        <w:t>The framework’s central claim is therefore that divergent and unstable responses to the same system can be explained not only by differences in the technology but also by how employees construct, and recursively revise, its meaning for their roles. Understood this way, generative AI implementation is not only a problem of technology adoption but a recursive process of employee role meaning formation—one whose propositions offer a basis for future empirical testing.</w:t>
      </w:r>
    </w:p>
    <w:p>
      <w:pPr>
        <w:pStyle w:val="Heading1"/>
        <w:ind w:hanging="0" w:start="0"/>
        <w:rPr>
          <w:lang w:eastAsia="zh-TW"/>
        </w:rPr>
      </w:pPr>
      <w:r>
        <w:rPr>
          <w:lang w:eastAsia="zh-TW"/>
        </w:rPr>
        <w:t>Research Integrity Statement</w:t>
      </w:r>
    </w:p>
    <w:p>
      <w:pPr>
        <w:pStyle w:val="BodyText"/>
        <w:rPr>
          <w:lang w:eastAsia="zh-TW"/>
        </w:rPr>
      </w:pPr>
      <w:r>
        <w:rPr>
          <w:lang w:eastAsia="zh-TW"/>
        </w:rPr>
        <w:t>The core ideas, research questions, theoretical judgments, conceptual model, and final conclusions of this study were independently developed, reviewed, and confirmed by the author(s). During the writing process, the generative AI tool Claude (developed by Anthropic) was used to assist with language polishing, paragraph structuring, refinement of the English abstract, and clarification of theoretical exposition. Generative AI served solely as a supportive tool for writing and conceptual organization, and did not replace the author's scholarly judgment, literature verification, or research responsibility.</w:t>
      </w:r>
    </w:p>
    <w:p>
      <w:pPr>
        <w:pStyle w:val="BodyText"/>
        <w:rPr>
          <w:lang w:eastAsia="zh-TW"/>
        </w:rPr>
      </w:pPr>
      <w:r>
        <w:rPr>
          <w:lang w:eastAsia="zh-TW"/>
        </w:rPr>
        <w:t>The author(s) have manually reviewed, revised, and verified all AI-assisted content, and confirm that the literature, theoretical perspectives, and research propositions cited in this article have been examined by the author(s). The author(s) take full responsibility for the research ethics, academic integrity, argumentative logic, citation accuracy, and final content of this article.</w:t>
      </w:r>
    </w:p>
    <w:p>
      <w:pPr>
        <w:pStyle w:val="Heading1"/>
        <w:ind w:hanging="0" w:start="0"/>
        <w:rPr>
          <w:lang w:eastAsia="zh-TW"/>
        </w:rPr>
      </w:pPr>
      <w:r>
        <w:rPr>
          <w:lang w:eastAsia="zh-TW"/>
        </w:rPr>
        <w:t>Disclosure statement</w:t>
      </w:r>
    </w:p>
    <w:p>
      <w:pPr>
        <w:pStyle w:val="BodyText"/>
        <w:rPr>
          <w:lang w:eastAsia="zh-TW"/>
        </w:rPr>
      </w:pPr>
      <w:r>
        <w:rPr>
          <w:lang w:eastAsia="zh-TW"/>
        </w:rPr>
        <w:t>No potential conflict of interest was reported by the author(s).</w:t>
      </w:r>
    </w:p>
    <w:p>
      <w:pPr>
        <w:pStyle w:val="Heading1"/>
        <w:ind w:hanging="0" w:start="0"/>
        <w:rPr>
          <w:lang w:eastAsia="zh-TW"/>
        </w:rPr>
      </w:pPr>
      <w:r>
        <w:rPr>
          <w:lang w:eastAsia="zh-TW"/>
        </w:rPr>
        <w:t>Funding</w:t>
      </w:r>
    </w:p>
    <w:p>
      <w:pPr>
        <w:pStyle w:val="BodyText"/>
        <w:rPr>
          <w:lang w:eastAsia="zh-TW"/>
        </w:rPr>
      </w:pPr>
      <w:r>
        <w:rPr>
          <w:lang w:eastAsia="zh-TW"/>
        </w:rPr>
        <w:t>This research received no specific grant from any funding agency in the public, commercial, or not-for-profit sectors.</w:t>
      </w:r>
    </w:p>
    <w:p>
      <w:pPr>
        <w:pStyle w:val="Heading1"/>
        <w:ind w:hanging="0" w:start="0"/>
        <w:rPr>
          <w:lang w:eastAsia="zh-TW"/>
        </w:rPr>
      </w:pPr>
      <w:bookmarkStart w:id="49" w:name="references"/>
      <w:bookmarkStart w:id="50" w:name="conclusion"/>
      <w:bookmarkEnd w:id="50"/>
      <w:r>
        <w:rPr>
          <w:lang w:eastAsia="zh-TW"/>
        </w:rPr>
        <w:t>Data Availability Statement</w:t>
      </w:r>
    </w:p>
    <w:p>
      <w:pPr>
        <w:pStyle w:val="BodyText"/>
        <w:rPr>
          <w:lang w:eastAsia="zh-TW"/>
        </w:rPr>
      </w:pPr>
      <w:r>
        <w:rPr>
          <w:lang w:eastAsia="zh-TW"/>
        </w:rPr>
        <w:t>The data that support the findings of this study are available from the corresponding author, Liu-Jung Lai, upon reasonable request.</w:t>
      </w:r>
    </w:p>
    <w:p>
      <w:pPr>
        <w:pStyle w:val="Heading1"/>
        <w:ind w:hanging="0" w:start="0"/>
        <w:rPr/>
      </w:pPr>
      <w:r>
        <w:rPr/>
        <w:t>References</w:t>
      </w:r>
    </w:p>
    <w:p>
      <w:pPr>
        <w:pStyle w:val="FirstParagraph"/>
        <w:rPr/>
      </w:pPr>
      <w:r>
        <w:rPr/>
        <w:t xml:space="preserve">Agarwal, A., Sebastian, M. P., &amp; Krishnan, S. (2026). Understanding GenAI teammates in the workplace: A sensemaking and sensegiving analysis of user reviews. </w:t>
      </w:r>
      <w:r>
        <w:rPr>
          <w:i/>
          <w:iCs/>
        </w:rPr>
        <w:t>Information Systems Frontiers, 28</w:t>
      </w:r>
      <w:r>
        <w:rPr/>
        <w:t>(2), 803–825. https://doi.org/10.1007/s10796-025-10672-5</w:t>
      </w:r>
    </w:p>
    <w:p>
      <w:pPr>
        <w:pStyle w:val="BodyText"/>
        <w:rPr/>
      </w:pPr>
      <w:r>
        <w:rPr/>
        <w:t xml:space="preserve">Brougham, D., &amp; Haar, J. (2018). Smart technology, artificial intelligence, robotics, and algorithms (STARA): Employees’ perceptions of our future workplace. </w:t>
      </w:r>
      <w:r>
        <w:rPr>
          <w:i/>
          <w:iCs/>
        </w:rPr>
        <w:t>Journal of Management &amp; Organization, 24</w:t>
      </w:r>
      <w:r>
        <w:rPr/>
        <w:t>(2), 239–257.</w:t>
      </w:r>
    </w:p>
    <w:p>
      <w:pPr>
        <w:pStyle w:val="BodyText"/>
        <w:rPr/>
      </w:pPr>
      <w:r>
        <w:rPr/>
        <w:t xml:space="preserve">Davis, F. D. (1989). Perceived usefulness, perceived ease of use, and user acceptance of information technology. </w:t>
      </w:r>
      <w:r>
        <w:rPr>
          <w:i/>
          <w:iCs/>
        </w:rPr>
        <w:t>MIS Quarterly, 13</w:t>
      </w:r>
      <w:r>
        <w:rPr/>
        <w:t>(3), 319–340.</w:t>
      </w:r>
    </w:p>
    <w:p>
      <w:pPr>
        <w:pStyle w:val="BodyText"/>
        <w:rPr/>
      </w:pPr>
      <w:r>
        <w:rPr/>
        <w:t xml:space="preserve">De Witte, H. (1999). Job insecurity and psychological well-being: Review of the literature and exploration of some unresolved issues. </w:t>
      </w:r>
      <w:r>
        <w:rPr>
          <w:i/>
          <w:iCs/>
        </w:rPr>
        <w:t>European Journal of Work and Organizational Psychology, 8</w:t>
      </w:r>
      <w:r>
        <w:rPr/>
        <w:t>(2), 155–177.</w:t>
      </w:r>
    </w:p>
    <w:p>
      <w:pPr>
        <w:pStyle w:val="BodyText"/>
        <w:rPr/>
      </w:pPr>
      <w:r>
        <w:rPr/>
        <w:t xml:space="preserve">Ding, L. (2021). Employees’ challenge-hindrance appraisals toward STARA awareness and competitive productivity: A micro-level case. </w:t>
      </w:r>
      <w:r>
        <w:rPr>
          <w:i/>
          <w:iCs/>
        </w:rPr>
        <w:t>International Journal of Contemporary Hospitality Management, 33</w:t>
      </w:r>
      <w:r>
        <w:rPr/>
        <w:t>(9), 2950–2969.</w:t>
      </w:r>
    </w:p>
    <w:p>
      <w:pPr>
        <w:pStyle w:val="BodyText"/>
        <w:rPr/>
      </w:pPr>
      <w:r>
        <w:rPr/>
        <w:t xml:space="preserve">Eisenberg, E. M. (1984). Ambiguity as strategy in organizational communication. </w:t>
      </w:r>
      <w:r>
        <w:rPr>
          <w:i/>
          <w:iCs/>
        </w:rPr>
        <w:t>Communication Monographs, 51</w:t>
      </w:r>
      <w:r>
        <w:rPr/>
        <w:t>(3), 227–242.</w:t>
      </w:r>
    </w:p>
    <w:p>
      <w:pPr>
        <w:pStyle w:val="BodyText"/>
        <w:rPr/>
      </w:pPr>
      <w:r>
        <w:rPr/>
        <w:t xml:space="preserve">Fairclough, N. (1992). </w:t>
      </w:r>
      <w:r>
        <w:rPr>
          <w:i/>
          <w:iCs/>
        </w:rPr>
        <w:t>Discourse and social change.</w:t>
      </w:r>
      <w:r>
        <w:rPr/>
        <w:t xml:space="preserve"> Polity Press.</w:t>
      </w:r>
    </w:p>
    <w:p>
      <w:pPr>
        <w:pStyle w:val="BodyText"/>
        <w:rPr/>
      </w:pPr>
      <w:r>
        <w:rPr/>
        <w:t xml:space="preserve">Gillespie, N., Lockey, S., Ward, T., Macdade, A., &amp; Hassed, G. (2025). </w:t>
      </w:r>
      <w:r>
        <w:rPr>
          <w:i/>
          <w:iCs/>
        </w:rPr>
        <w:t>Trust, attitudes and use of artificial intelligence: A global study 2025</w:t>
      </w:r>
      <w:r>
        <w:rPr/>
        <w:t>. The University of Melbourne and KPMG. https://doi.org/10.26188/28822919</w:t>
      </w:r>
    </w:p>
    <w:p>
      <w:pPr>
        <w:pStyle w:val="BodyText"/>
        <w:rPr/>
      </w:pPr>
      <w:r>
        <w:rPr/>
        <w:t xml:space="preserve">Gioia, D. A., &amp; Chittipeddi, K. (1991). Sensemaking and sensegiving in strategic change initiation. </w:t>
      </w:r>
      <w:r>
        <w:rPr>
          <w:i/>
          <w:iCs/>
        </w:rPr>
        <w:t>Strategic Management Journal, 12</w:t>
      </w:r>
      <w:r>
        <w:rPr/>
        <w:t>(6), 433–448.</w:t>
      </w:r>
    </w:p>
    <w:p>
      <w:pPr>
        <w:pStyle w:val="BodyText"/>
        <w:rPr/>
      </w:pPr>
      <w:r>
        <w:rPr/>
        <w:t xml:space="preserve">Grice, H. P. (1975). Logic and conversation. In P. Cole &amp; J. L. Morgan (Eds.), </w:t>
      </w:r>
      <w:r>
        <w:rPr>
          <w:i/>
          <w:iCs/>
        </w:rPr>
        <w:t>Syntax and semantics: Vol. 3. Speech acts</w:t>
      </w:r>
      <w:r>
        <w:rPr/>
        <w:t xml:space="preserve"> (pp. 41–58). Academic Press.</w:t>
      </w:r>
    </w:p>
    <w:p>
      <w:pPr>
        <w:pStyle w:val="BodyText"/>
        <w:rPr/>
      </w:pPr>
      <w:r>
        <w:rPr/>
        <w:t xml:space="preserve">Lapointe, L., &amp; Rivard, S. (2005). A multilevel model of resistance to information technology implementation. </w:t>
      </w:r>
      <w:r>
        <w:rPr>
          <w:i/>
          <w:iCs/>
        </w:rPr>
        <w:t>MIS Quarterly, 29</w:t>
      </w:r>
      <w:r>
        <w:rPr/>
        <w:t>(3), 461–491.</w:t>
      </w:r>
    </w:p>
    <w:p>
      <w:pPr>
        <w:pStyle w:val="BodyText"/>
        <w:rPr/>
      </w:pPr>
      <w:r>
        <w:rPr/>
        <w:t xml:space="preserve">Lazarus, R. S., &amp; Folkman, S. (1984). </w:t>
      </w:r>
      <w:r>
        <w:rPr>
          <w:i/>
          <w:iCs/>
        </w:rPr>
        <w:t>Stress, appraisal, and coping.</w:t>
      </w:r>
      <w:r>
        <w:rPr/>
        <w:t xml:space="preserve"> Springer.</w:t>
      </w:r>
    </w:p>
    <w:p>
      <w:pPr>
        <w:pStyle w:val="BodyText"/>
        <w:rPr/>
      </w:pPr>
      <w:r>
        <w:rPr/>
        <w:t xml:space="preserve">Maddux, J. E., &amp; Rogers, R. W. (1983). Protection motivation and self-efficacy: A revised theory of fear appeals and attitude change. </w:t>
      </w:r>
      <w:r>
        <w:rPr>
          <w:i/>
          <w:iCs/>
        </w:rPr>
        <w:t>Journal of Experimental Social Psychology, 19</w:t>
      </w:r>
      <w:r>
        <w:rPr/>
        <w:t>(5), 469–479.</w:t>
      </w:r>
    </w:p>
    <w:p>
      <w:pPr>
        <w:pStyle w:val="BodyText"/>
        <w:rPr/>
      </w:pPr>
      <w:r>
        <w:rPr/>
        <w:t xml:space="preserve">Maitlis, S., &amp; Christianson, M. (2014). Sensemaking in organizations: Taking stock and moving forward. </w:t>
      </w:r>
      <w:r>
        <w:rPr>
          <w:i/>
          <w:iCs/>
        </w:rPr>
        <w:t>Academy of Management Annals, 8</w:t>
      </w:r>
      <w:r>
        <w:rPr/>
        <w:t>(1), 57–125.</w:t>
      </w:r>
    </w:p>
    <w:p>
      <w:pPr>
        <w:pStyle w:val="BodyText"/>
        <w:rPr/>
      </w:pPr>
      <w:r>
        <w:rPr/>
        <w:t xml:space="preserve">Mayer, R. C., Davis, J. H., &amp; Schoorman, F. D. (1995). An integrative model of organizational trust. </w:t>
      </w:r>
      <w:r>
        <w:rPr>
          <w:i/>
          <w:iCs/>
        </w:rPr>
        <w:t>Academy of Management Review, 20</w:t>
      </w:r>
      <w:r>
        <w:rPr/>
        <w:t>(3), 709–734.</w:t>
      </w:r>
    </w:p>
    <w:p>
      <w:pPr>
        <w:pStyle w:val="BodyText"/>
        <w:rPr/>
      </w:pPr>
      <w:r>
        <w:rPr/>
        <w:t xml:space="preserve">McKinley, W., Zhao, J., &amp; Rust, K. G. (2000). A sociocognitive interpretation of organizational downsizing. </w:t>
      </w:r>
      <w:r>
        <w:rPr>
          <w:i/>
          <w:iCs/>
        </w:rPr>
        <w:t>Academy of Management Review, 25</w:t>
      </w:r>
      <w:r>
        <w:rPr/>
        <w:t>(1), 227–243.</w:t>
      </w:r>
    </w:p>
    <w:p>
      <w:pPr>
        <w:pStyle w:val="BodyText"/>
        <w:rPr/>
      </w:pPr>
      <w:r>
        <w:rPr/>
        <w:t xml:space="preserve">Microsoft. (2023). </w:t>
      </w:r>
      <w:r>
        <w:rPr>
          <w:i/>
          <w:iCs/>
        </w:rPr>
        <w:t>Work Trend Index annual report: Will AI fix work?</w:t>
      </w:r>
      <w:r>
        <w:rPr/>
        <w:t xml:space="preserve"> Microsoft WorkLab. https://www.microsoft.com/en-us/worklab/work-trend-index/will-ai-fix-work</w:t>
      </w:r>
    </w:p>
    <w:p>
      <w:pPr>
        <w:pStyle w:val="BodyText"/>
        <w:rPr/>
      </w:pPr>
      <w:r>
        <w:rPr/>
        <w:t xml:space="preserve">Mirbabaie, M., Brünker, F., Möllmann, N. R. J., &amp; Stieglitz, S. (2022). The rise of artificial intelligence – understanding the AI identity threat at the workplace. </w:t>
      </w:r>
      <w:r>
        <w:rPr>
          <w:i/>
          <w:iCs/>
        </w:rPr>
        <w:t>Electronic Markets, 32</w:t>
      </w:r>
      <w:r>
        <w:rPr/>
        <w:t>(1), 73–99. https://doi.org/10.1007/s12525-021-00496-x</w:t>
      </w:r>
    </w:p>
    <w:p>
      <w:pPr>
        <w:pStyle w:val="BodyText"/>
        <w:rPr/>
      </w:pPr>
      <w:r>
        <w:rPr/>
        <w:t xml:space="preserve">Nass, C., &amp; Moon, Y. (2000). Machines and mindlessness: Social responses to computers. </w:t>
      </w:r>
      <w:r>
        <w:rPr>
          <w:i/>
          <w:iCs/>
        </w:rPr>
        <w:t>Journal of Social Issues, 56</w:t>
      </w:r>
      <w:r>
        <w:rPr/>
        <w:t>(1), 81–103.</w:t>
      </w:r>
    </w:p>
    <w:p>
      <w:pPr>
        <w:pStyle w:val="BodyText"/>
        <w:rPr/>
      </w:pPr>
      <w:r>
        <w:rPr/>
        <w:t xml:space="preserve">Nass, C., Steuer, J., &amp; Tauber, E. R. (1994). Computers are social actors. In </w:t>
      </w:r>
      <w:r>
        <w:rPr>
          <w:i/>
          <w:iCs/>
        </w:rPr>
        <w:t>Proceedings of the SIGCHI Conference on Human Factors in Computing Systems</w:t>
      </w:r>
      <w:r>
        <w:rPr/>
        <w:t xml:space="preserve"> (pp. 72–78). ACM.</w:t>
      </w:r>
    </w:p>
    <w:p>
      <w:pPr>
        <w:pStyle w:val="BodyText"/>
        <w:rPr/>
      </w:pPr>
      <w:r>
        <w:rPr/>
        <w:t xml:space="preserve">Orlikowski, W. J., &amp; Gash, D. C. (1994). Technological frames: Making sense of information technology in organizations. </w:t>
      </w:r>
      <w:r>
        <w:rPr>
          <w:i/>
          <w:iCs/>
        </w:rPr>
        <w:t>ACM Transactions on Information Systems, 12</w:t>
      </w:r>
      <w:r>
        <w:rPr/>
        <w:t>(2), 174–207.</w:t>
      </w:r>
    </w:p>
    <w:p>
      <w:pPr>
        <w:pStyle w:val="BodyText"/>
        <w:rPr/>
      </w:pPr>
      <w:r>
        <w:rPr/>
        <w:t xml:space="preserve">Pew Research Center. (2025, February 25). </w:t>
      </w:r>
      <w:r>
        <w:rPr>
          <w:i/>
          <w:iCs/>
        </w:rPr>
        <w:t>U.S. workers are more worried than hopeful about future AI use in the workplace.</w:t>
      </w:r>
      <w:r>
        <w:rPr/>
        <w:t xml:space="preserve"> https://www.pewresearch.org/social-trends/2025/02/25/u-s-workers-are-more-worried-than-hopeful-about-future-ai-use-in-the-workplace/</w:t>
      </w:r>
    </w:p>
    <w:p>
      <w:pPr>
        <w:pStyle w:val="BodyText"/>
        <w:rPr/>
      </w:pPr>
      <w:r>
        <w:rPr/>
        <w:t xml:space="preserve">Pirolli, P., &amp; Card, S. (2005). The sensemaking process and leverage points for analyst technology as identified through cognitive task analysis. In </w:t>
      </w:r>
      <w:r>
        <w:rPr>
          <w:i/>
          <w:iCs/>
        </w:rPr>
        <w:t>Proceedings of the 2005 International Conference on Intelligence Analysis</w:t>
      </w:r>
      <w:r>
        <w:rPr/>
        <w:t xml:space="preserve"> (pp. 2–4). MITRE.</w:t>
      </w:r>
    </w:p>
    <w:p>
      <w:pPr>
        <w:pStyle w:val="BodyText"/>
        <w:rPr/>
      </w:pPr>
      <w:r>
        <w:rPr/>
        <w:t xml:space="preserve">Raisch, S., &amp; Krakowski, S. (2021). Artificial intelligence and management: The automation–augmentation paradox. </w:t>
      </w:r>
      <w:r>
        <w:rPr>
          <w:i/>
          <w:iCs/>
        </w:rPr>
        <w:t>Academy of Management Review, 46</w:t>
      </w:r>
      <w:r>
        <w:rPr/>
        <w:t>(1), 192–210.</w:t>
      </w:r>
    </w:p>
    <w:p>
      <w:pPr>
        <w:pStyle w:val="BodyText"/>
        <w:rPr/>
      </w:pPr>
      <w:r>
        <w:rPr/>
        <w:t xml:space="preserve">Reeves, B., &amp; Nass, C. (1996). </w:t>
      </w:r>
      <w:r>
        <w:rPr>
          <w:i/>
          <w:iCs/>
        </w:rPr>
        <w:t>The media equation: How people treat computers, television, and new media like real people and places.</w:t>
      </w:r>
      <w:r>
        <w:rPr/>
        <w:t xml:space="preserve"> Cambridge University Press.</w:t>
      </w:r>
    </w:p>
    <w:p>
      <w:pPr>
        <w:pStyle w:val="BodyText"/>
        <w:rPr/>
      </w:pPr>
      <w:r>
        <w:rPr/>
        <w:t xml:space="preserve">Reichers, A. E., Wanous, J. P., &amp; Austin, J. T. (1997). Understanding and managing cynicism about organizational change. </w:t>
      </w:r>
      <w:r>
        <w:rPr>
          <w:i/>
          <w:iCs/>
        </w:rPr>
        <w:t>Academy of Management Executive, 11</w:t>
      </w:r>
      <w:r>
        <w:rPr/>
        <w:t>(1), 48–59.</w:t>
      </w:r>
    </w:p>
    <w:p>
      <w:pPr>
        <w:pStyle w:val="BodyText"/>
        <w:rPr/>
      </w:pPr>
      <w:r>
        <w:rPr/>
        <w:t xml:space="preserve">Robinson, S. L., &amp; Rousseau, D. M. (1994). Violating the psychological contract: Not the exception but the norm. </w:t>
      </w:r>
      <w:r>
        <w:rPr>
          <w:i/>
          <w:iCs/>
        </w:rPr>
        <w:t>Journal of Organizational Behavior, 15</w:t>
      </w:r>
      <w:r>
        <w:rPr/>
        <w:t>(3), 245–259.</w:t>
      </w:r>
    </w:p>
    <w:p>
      <w:pPr>
        <w:pStyle w:val="BodyText"/>
        <w:rPr/>
      </w:pPr>
      <w:r>
        <w:rPr/>
        <w:t xml:space="preserve">Rogers, R. W. (1975). A protection motivation theory of fear appeals and attitude change. </w:t>
      </w:r>
      <w:r>
        <w:rPr>
          <w:i/>
          <w:iCs/>
        </w:rPr>
        <w:t>The Journal of Psychology, 91</w:t>
      </w:r>
      <w:r>
        <w:rPr/>
        <w:t>(1), 93–114.</w:t>
      </w:r>
    </w:p>
    <w:p>
      <w:pPr>
        <w:pStyle w:val="BodyText"/>
        <w:rPr/>
      </w:pPr>
      <w:r>
        <w:rPr/>
        <w:t xml:space="preserve">Rousseau, D. M. (1989). Psychological and implied contracts in organizations. </w:t>
      </w:r>
      <w:r>
        <w:rPr>
          <w:i/>
          <w:iCs/>
        </w:rPr>
        <w:t>Employee Responsibilities and Rights Journal, 2</w:t>
      </w:r>
      <w:r>
        <w:rPr/>
        <w:t>(2), 121–139.</w:t>
      </w:r>
    </w:p>
    <w:p>
      <w:pPr>
        <w:pStyle w:val="BodyText"/>
        <w:rPr/>
      </w:pPr>
      <w:r>
        <w:rPr/>
        <w:t xml:space="preserve">Schweiger, D. M., &amp; DeNisi, A. S. (1991). Communication with employees following a merger: A longitudinal field experiment. </w:t>
      </w:r>
      <w:r>
        <w:rPr>
          <w:i/>
          <w:iCs/>
        </w:rPr>
        <w:t>Academy of Management Journal, 34</w:t>
      </w:r>
      <w:r>
        <w:rPr/>
        <w:t>(1), 110–135.</w:t>
      </w:r>
    </w:p>
    <w:p>
      <w:pPr>
        <w:pStyle w:val="BodyText"/>
        <w:rPr/>
      </w:pPr>
      <w:r>
        <w:rPr/>
        <w:t xml:space="preserve">Shoss, M. K. (2017). Job insecurity: An integrative review and agenda for future research. </w:t>
      </w:r>
      <w:r>
        <w:rPr>
          <w:i/>
          <w:iCs/>
        </w:rPr>
        <w:t>Journal of Management, 43</w:t>
      </w:r>
      <w:r>
        <w:rPr/>
        <w:t>(6), 1911–1939.</w:t>
      </w:r>
    </w:p>
    <w:p>
      <w:pPr>
        <w:pStyle w:val="BodyText"/>
        <w:rPr/>
      </w:pPr>
      <w:r>
        <w:rPr/>
        <w:t xml:space="preserve">Simons, T. (2002). Behavioral integrity: The perceived alignment between managers’ words and deeds as a research focus. </w:t>
      </w:r>
      <w:r>
        <w:rPr>
          <w:i/>
          <w:iCs/>
        </w:rPr>
        <w:t>Organization Science, 13</w:t>
      </w:r>
      <w:r>
        <w:rPr/>
        <w:t>(1), 18–35.</w:t>
      </w:r>
    </w:p>
    <w:p>
      <w:pPr>
        <w:pStyle w:val="BodyText"/>
        <w:rPr/>
      </w:pPr>
      <w:r>
        <w:rPr/>
        <w:t xml:space="preserve">Sundar, S. S. (2008). The MAIN model: A heuristic approach to understanding technology effects on credibility. In M. J. Metzger &amp; A. J. Flanagin (Eds.), </w:t>
      </w:r>
      <w:r>
        <w:rPr>
          <w:i/>
          <w:iCs/>
        </w:rPr>
        <w:t>Digital media, youth, and credibility</w:t>
      </w:r>
      <w:r>
        <w:rPr/>
        <w:t xml:space="preserve"> (pp. 72–100). MIT Press.</w:t>
      </w:r>
    </w:p>
    <w:p>
      <w:pPr>
        <w:pStyle w:val="BodyText"/>
        <w:rPr/>
      </w:pPr>
      <w:r>
        <w:rPr/>
        <w:t xml:space="preserve">Sundar, S. S., &amp; Kim, J. (2019). Machine heuristic: When we trust computers more than humans with our personal information. In </w:t>
      </w:r>
      <w:r>
        <w:rPr>
          <w:i/>
          <w:iCs/>
        </w:rPr>
        <w:t>Proceedings of the 2019 CHI Conference on Human Factors in Computing Systems</w:t>
      </w:r>
      <w:r>
        <w:rPr/>
        <w:t xml:space="preserve"> (Paper 538). ACM. https://doi.org/10.1145/3290605.3300768</w:t>
      </w:r>
    </w:p>
    <w:p>
      <w:pPr>
        <w:pStyle w:val="BodyText"/>
        <w:rPr/>
      </w:pPr>
      <w:r>
        <w:rPr/>
        <w:t xml:space="preserve">Sverke, M., Hellgren, J., &amp; Näswall, K. (2002). No security: A meta-analysis and review of job insecurity and its consequences. </w:t>
      </w:r>
      <w:r>
        <w:rPr>
          <w:i/>
          <w:iCs/>
        </w:rPr>
        <w:t>Journal of Occupational Health Psychology, 7</w:t>
      </w:r>
      <w:r>
        <w:rPr/>
        <w:t>(3), 242–264.</w:t>
      </w:r>
    </w:p>
    <w:p>
      <w:pPr>
        <w:pStyle w:val="BodyText"/>
        <w:rPr/>
      </w:pPr>
      <w:r>
        <w:rPr/>
        <w:t xml:space="preserve">Vaara, E., &amp; Tienari, J. (2002). Justification, legitimization and naturalization of mergers and acquisitions: A critical discourse analysis of media texts. </w:t>
      </w:r>
      <w:r>
        <w:rPr>
          <w:i/>
          <w:iCs/>
        </w:rPr>
        <w:t>Organization, 9</w:t>
      </w:r>
      <w:r>
        <w:rPr/>
        <w:t>(2), 275–304.</w:t>
      </w:r>
    </w:p>
    <w:p>
      <w:pPr>
        <w:pStyle w:val="BodyText"/>
        <w:rPr/>
      </w:pPr>
      <w:r>
        <w:rPr/>
        <w:t xml:space="preserve">Venkatesh, V., Morris, M. G., Davis, G. B., &amp; Davis, F. D. (2003). User acceptance of information technology: Toward a unified view. </w:t>
      </w:r>
      <w:r>
        <w:rPr>
          <w:i/>
          <w:iCs/>
        </w:rPr>
        <w:t>MIS Quarterly, 27</w:t>
      </w:r>
      <w:r>
        <w:rPr/>
        <w:t>(3), 425–478.</w:t>
      </w:r>
    </w:p>
    <w:p>
      <w:pPr>
        <w:pStyle w:val="BodyText"/>
        <w:rPr/>
      </w:pPr>
      <w:r>
        <w:rPr/>
        <w:t xml:space="preserve">Wegner, D. M., Wenzlaff, R., Kerker, R. M., &amp; Beattie, A. E. (1981). Incrimination through innuendo: Can media questions become public answers? </w:t>
      </w:r>
      <w:r>
        <w:rPr>
          <w:i/>
          <w:iCs/>
        </w:rPr>
        <w:t>Journal of Personality and Social Psychology, 40</w:t>
      </w:r>
      <w:r>
        <w:rPr/>
        <w:t>(5), 822–832.</w:t>
      </w:r>
    </w:p>
    <w:p>
      <w:pPr>
        <w:pStyle w:val="BodyText"/>
        <w:rPr/>
      </w:pPr>
      <w:r>
        <w:rPr/>
        <w:t xml:space="preserve">Weick, K. E. (1988). Enacted sensemaking in crisis situations. </w:t>
      </w:r>
      <w:r>
        <w:rPr>
          <w:i/>
          <w:iCs/>
        </w:rPr>
        <w:t>Journal of Management Studies, 25</w:t>
      </w:r>
      <w:r>
        <w:rPr/>
        <w:t>(4), 305–317.</w:t>
      </w:r>
    </w:p>
    <w:p>
      <w:pPr>
        <w:pStyle w:val="BodyText"/>
        <w:rPr/>
      </w:pPr>
      <w:r>
        <w:rPr/>
        <w:t xml:space="preserve">Weick, K. E. (1995). </w:t>
      </w:r>
      <w:r>
        <w:rPr>
          <w:i/>
          <w:iCs/>
        </w:rPr>
        <w:t>Sensemaking in organizations.</w:t>
      </w:r>
      <w:r>
        <w:rPr/>
        <w:t xml:space="preserve"> Sage.</w:t>
      </w:r>
    </w:p>
    <w:p>
      <w:pPr>
        <w:pStyle w:val="BodyText"/>
        <w:rPr/>
      </w:pPr>
      <w:r>
        <w:rPr/>
        <w:t xml:space="preserve">Wrzesniewski, A., &amp; Dutton, J. E. (2001). Crafting a job: Revisioning employees as active crafters of their work. </w:t>
      </w:r>
      <w:r>
        <w:rPr>
          <w:i/>
          <w:iCs/>
        </w:rPr>
        <w:t>Academy of Management Review, 26</w:t>
      </w:r>
      <w:r>
        <w:rPr/>
        <w:t>(2), 179–201.</w:t>
      </w:r>
    </w:p>
    <w:p>
      <w:pPr>
        <w:pStyle w:val="BodyText"/>
        <w:rPr/>
      </w:pPr>
      <w:r>
        <w:rPr/>
        <w:t xml:space="preserve">Xu, F., Qin, J., &amp; Zhang, D. (2026). Promoting or preventing? The influence of artificial intelligence awareness on employee job crafting. </w:t>
      </w:r>
      <w:r>
        <w:rPr>
          <w:i/>
          <w:iCs/>
        </w:rPr>
        <w:t>The Journal of Applied Behavioral Science</w:t>
      </w:r>
      <w:r>
        <w:rPr/>
        <w:t>. Advance online publication. https://doi.org/10.1177/00218863251360852</w:t>
      </w:r>
    </w:p>
    <w:p>
      <w:pPr>
        <w:pStyle w:val="BodyText"/>
        <w:rPr/>
      </w:pPr>
      <w:r>
        <w:rPr/>
        <w:t xml:space="preserve">Yan, Y., Qu, X., Lei, H., &amp; Geng, Y. (2025). Approach or avoidance: How does employees’ generative AI awareness shape their job crafting behavior? A sensemaking perspective. </w:t>
      </w:r>
      <w:r>
        <w:rPr>
          <w:i/>
          <w:iCs/>
        </w:rPr>
        <w:t>Behavioral Sciences, 15</w:t>
      </w:r>
      <w:r>
        <w:rPr/>
        <w:t>(6), Article 789. https://doi.org/10.3390/bs15060789</w:t>
      </w:r>
    </w:p>
    <w:p>
      <w:pPr>
        <w:pStyle w:val="BodyText"/>
        <w:spacing w:before="180" w:after="180"/>
        <w:rPr/>
      </w:pPr>
      <w:r>
        <w:rPr/>
        <w:t xml:space="preserve">Yang, H., &amp; Sundar, S. S. (2024). Machine heuristic: Concept explication and development of a measurement scale. </w:t>
      </w:r>
      <w:r>
        <w:rPr>
          <w:i/>
          <w:iCs/>
        </w:rPr>
        <w:t>Journal of Computer-Mediated Communication, 29</w:t>
      </w:r>
      <w:r>
        <w:rPr/>
        <w:t>(6), zmae019. https://doi.org/10.1093/jcmc/zmae019</w:t>
      </w:r>
      <w:bookmarkEnd w:id="49"/>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windows-1252"/>
    <w:family w:val="roman"/>
    <w:pitch w:val="variable"/>
  </w:font>
  <w:font w:name="Calibri">
    <w:charset w:val="00" w:characterSet="windows-1252"/>
    <w:family w:val="swiss"/>
    <w:pitch w:val="variable"/>
  </w:font>
  <w:font w:name="Consolas">
    <w:charset w:val="00" w:characterSet="windows-1252"/>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200"/>
    </w:pPr>
    <w:rPr>
      <w:rFonts w:ascii="Cambria" w:hAnsi="Cambria" w:eastAsia="新細明體;PMingLiU;新細明體" w:cs="Times New Roman"/>
      <w:color w:val="auto"/>
      <w:sz w:val="24"/>
      <w:szCs w:val="24"/>
      <w:lang w:val="en-US" w:eastAsia="zh-CN" w:bidi="ar-SA"/>
    </w:rPr>
  </w:style>
  <w:style w:type="paragraph" w:styleId="Heading1">
    <w:name w:val="Heading 1"/>
    <w:basedOn w:val="Normal"/>
    <w:next w:val="BodyText"/>
    <w:qFormat/>
    <w:pPr>
      <w:keepNext w:val="true"/>
      <w:keepLines/>
      <w:numPr>
        <w:ilvl w:val="0"/>
        <w:numId w:val="1"/>
      </w:numPr>
      <w:spacing w:before="480" w:after="0"/>
      <w:outlineLvl w:val="0"/>
    </w:pPr>
    <w:rPr>
      <w:rFonts w:ascii="Calibri" w:hAnsi="Calibri" w:eastAsia="新細明體;PMingLiU;新細明體" w:cs="Times New Roman"/>
      <w:b/>
      <w:bCs/>
      <w:color w:val="4F81BD"/>
      <w:sz w:val="32"/>
      <w:szCs w:val="32"/>
    </w:rPr>
  </w:style>
  <w:style w:type="paragraph" w:styleId="Heading2">
    <w:name w:val="Heading 2"/>
    <w:basedOn w:val="Normal"/>
    <w:next w:val="BodyText"/>
    <w:qFormat/>
    <w:pPr>
      <w:keepNext w:val="true"/>
      <w:keepLines/>
      <w:numPr>
        <w:ilvl w:val="1"/>
        <w:numId w:val="1"/>
      </w:numPr>
      <w:spacing w:before="200" w:after="0"/>
      <w:outlineLvl w:val="1"/>
    </w:pPr>
    <w:rPr>
      <w:rFonts w:ascii="Calibri" w:hAnsi="Calibri" w:eastAsia="新細明體;PMingLiU;新細明體" w:cs="Times New Roman"/>
      <w:b/>
      <w:bCs/>
      <w:color w:val="4F81BD"/>
      <w:sz w:val="28"/>
      <w:szCs w:val="28"/>
    </w:rPr>
  </w:style>
  <w:style w:type="paragraph" w:styleId="Heading3">
    <w:name w:val="Heading 3"/>
    <w:basedOn w:val="Normal"/>
    <w:next w:val="BodyText"/>
    <w:qFormat/>
    <w:pPr>
      <w:keepNext w:val="true"/>
      <w:keepLines/>
      <w:numPr>
        <w:ilvl w:val="2"/>
        <w:numId w:val="1"/>
      </w:numPr>
      <w:spacing w:before="200" w:after="0"/>
      <w:outlineLvl w:val="2"/>
    </w:pPr>
    <w:rPr>
      <w:rFonts w:ascii="Calibri" w:hAnsi="Calibri" w:eastAsia="新細明體;PMingLiU;新細明體" w:cs="Times New Roman"/>
      <w:b/>
      <w:bCs/>
      <w:color w:val="4F81BD"/>
      <w:sz w:val="24"/>
      <w:szCs w:val="24"/>
    </w:rPr>
  </w:style>
  <w:style w:type="paragraph" w:styleId="Heading4">
    <w:name w:val="Heading 4"/>
    <w:basedOn w:val="Normal"/>
    <w:next w:val="BodyText"/>
    <w:qFormat/>
    <w:pPr>
      <w:keepNext w:val="true"/>
      <w:keepLines/>
      <w:numPr>
        <w:ilvl w:val="3"/>
        <w:numId w:val="1"/>
      </w:numPr>
      <w:spacing w:before="200" w:after="0"/>
      <w:outlineLvl w:val="3"/>
    </w:pPr>
    <w:rPr>
      <w:rFonts w:ascii="Calibri" w:hAnsi="Calibri" w:eastAsia="新細明體;PMingLiU;新細明體" w:cs="Times New Roman"/>
      <w:bCs/>
      <w:i/>
      <w:color w:val="4F81BD"/>
      <w:sz w:val="24"/>
      <w:szCs w:val="24"/>
    </w:rPr>
  </w:style>
  <w:style w:type="paragraph" w:styleId="Heading5">
    <w:name w:val="Heading 5"/>
    <w:basedOn w:val="Normal"/>
    <w:next w:val="BodyText"/>
    <w:qFormat/>
    <w:pPr>
      <w:keepNext w:val="true"/>
      <w:keepLines/>
      <w:numPr>
        <w:ilvl w:val="4"/>
        <w:numId w:val="1"/>
      </w:numPr>
      <w:spacing w:before="200" w:after="0"/>
      <w:outlineLvl w:val="4"/>
    </w:pPr>
    <w:rPr>
      <w:rFonts w:ascii="Calibri" w:hAnsi="Calibri" w:eastAsia="新細明體;PMingLiU;新細明體" w:cs="Times New Roman"/>
      <w:iCs/>
      <w:color w:val="4F81BD"/>
      <w:sz w:val="24"/>
      <w:szCs w:val="24"/>
    </w:rPr>
  </w:style>
  <w:style w:type="paragraph" w:styleId="Heading6">
    <w:name w:val="Heading 6"/>
    <w:basedOn w:val="Normal"/>
    <w:next w:val="BodyText"/>
    <w:qFormat/>
    <w:pPr>
      <w:keepNext w:val="true"/>
      <w:keepLines/>
      <w:numPr>
        <w:ilvl w:val="5"/>
        <w:numId w:val="1"/>
      </w:numPr>
      <w:spacing w:before="200" w:after="0"/>
      <w:outlineLvl w:val="5"/>
    </w:pPr>
    <w:rPr>
      <w:rFonts w:ascii="Calibri" w:hAnsi="Calibri" w:eastAsia="新細明體;PMingLiU;新細明體" w:cs="Times New Roman"/>
      <w:color w:val="4F81BD"/>
      <w:sz w:val="24"/>
      <w:szCs w:val="24"/>
    </w:rPr>
  </w:style>
  <w:style w:type="paragraph" w:styleId="Heading7">
    <w:name w:val="Heading 7"/>
    <w:basedOn w:val="Normal"/>
    <w:next w:val="BodyText"/>
    <w:qFormat/>
    <w:pPr>
      <w:keepNext w:val="true"/>
      <w:keepLines/>
      <w:numPr>
        <w:ilvl w:val="6"/>
        <w:numId w:val="1"/>
      </w:numPr>
      <w:spacing w:before="200" w:after="0"/>
      <w:outlineLvl w:val="6"/>
    </w:pPr>
    <w:rPr>
      <w:rFonts w:ascii="Calibri" w:hAnsi="Calibri" w:eastAsia="新細明體;PMingLiU;新細明體" w:cs="Times New Roman"/>
      <w:color w:val="4F81BD"/>
      <w:sz w:val="24"/>
      <w:szCs w:val="24"/>
    </w:rPr>
  </w:style>
  <w:style w:type="paragraph" w:styleId="Heading8">
    <w:name w:val="Heading 8"/>
    <w:basedOn w:val="Normal"/>
    <w:next w:val="BodyText"/>
    <w:qFormat/>
    <w:pPr>
      <w:keepNext w:val="true"/>
      <w:keepLines/>
      <w:numPr>
        <w:ilvl w:val="7"/>
        <w:numId w:val="1"/>
      </w:numPr>
      <w:spacing w:before="200" w:after="0"/>
      <w:outlineLvl w:val="7"/>
    </w:pPr>
    <w:rPr>
      <w:rFonts w:ascii="Calibri" w:hAnsi="Calibri" w:eastAsia="新細明體;PMingLiU;新細明體" w:cs="Times New Roman"/>
      <w:color w:val="4F81BD"/>
      <w:sz w:val="24"/>
      <w:szCs w:val="24"/>
    </w:rPr>
  </w:style>
  <w:style w:type="paragraph" w:styleId="Heading9">
    <w:name w:val="Heading 9"/>
    <w:basedOn w:val="Normal"/>
    <w:next w:val="BodyText"/>
    <w:qFormat/>
    <w:pPr>
      <w:keepNext w:val="true"/>
      <w:keepLines/>
      <w:numPr>
        <w:ilvl w:val="8"/>
        <w:numId w:val="1"/>
      </w:numPr>
      <w:spacing w:before="200" w:after="0"/>
      <w:outlineLvl w:val="8"/>
    </w:pPr>
    <w:rPr>
      <w:rFonts w:ascii="Calibri" w:hAnsi="Calibri" w:eastAsia="新細明體;PMingLiU;新細明體" w:cs="Times New Roman"/>
      <w:color w:val="4F81BD"/>
      <w:sz w:val="24"/>
      <w:szCs w:val="24"/>
    </w:rPr>
  </w:style>
  <w:style w:type="character" w:styleId="Style5">
    <w:name w:val="預設段落字型"/>
    <w:qFormat/>
    <w:rPr/>
  </w:style>
  <w:style w:type="character" w:styleId="Style6">
    <w:name w:val="標號 字元"/>
    <w:basedOn w:val="Style5"/>
    <w:qFormat/>
    <w:rPr/>
  </w:style>
  <w:style w:type="character" w:styleId="VerbatimChar">
    <w:name w:val="Verbatim Char"/>
    <w:qFormat/>
    <w:rPr>
      <w:rFonts w:ascii="Consolas" w:hAnsi="Consolas" w:cs="Consolas"/>
      <w:sz w:val="22"/>
    </w:rPr>
  </w:style>
  <w:style w:type="character" w:styleId="SectionNumber">
    <w:name w:val="Section Number"/>
    <w:basedOn w:val="Style6"/>
    <w:qFormat/>
    <w:rPr/>
  </w:style>
  <w:style w:type="character" w:styleId="FootnoteCharacters">
    <w:name w:val="Footnote Characters"/>
    <w:qFormat/>
    <w:rPr>
      <w:vertAlign w:val="superscript"/>
    </w:rPr>
  </w:style>
  <w:style w:type="character" w:styleId="Hyperlink">
    <w:name w:val="Hyperlink"/>
    <w:rPr>
      <w:color w:val="4F81BD"/>
    </w:rPr>
  </w:style>
  <w:style w:type="character" w:styleId="KeywordTok">
    <w:name w:val="KeywordTok"/>
    <w:qFormat/>
    <w:rPr>
      <w:rFonts w:ascii="Consolas" w:hAnsi="Consolas" w:cs="Consolas"/>
      <w:b/>
      <w:color w:val="007020"/>
      <w:sz w:val="22"/>
    </w:rPr>
  </w:style>
  <w:style w:type="character" w:styleId="DataTypeTok">
    <w:name w:val="DataTypeTok"/>
    <w:qFormat/>
    <w:rPr>
      <w:rFonts w:ascii="Consolas" w:hAnsi="Consolas" w:cs="Consolas"/>
      <w:color w:val="902000"/>
      <w:sz w:val="22"/>
    </w:rPr>
  </w:style>
  <w:style w:type="character" w:styleId="DecValTok">
    <w:name w:val="DecValTok"/>
    <w:qFormat/>
    <w:rPr>
      <w:rFonts w:ascii="Consolas" w:hAnsi="Consolas" w:cs="Consolas"/>
      <w:color w:val="40A070"/>
      <w:sz w:val="22"/>
    </w:rPr>
  </w:style>
  <w:style w:type="character" w:styleId="BaseNTok">
    <w:name w:val="BaseNTok"/>
    <w:qFormat/>
    <w:rPr>
      <w:rFonts w:ascii="Consolas" w:hAnsi="Consolas" w:cs="Consolas"/>
      <w:color w:val="40A070"/>
      <w:sz w:val="22"/>
    </w:rPr>
  </w:style>
  <w:style w:type="character" w:styleId="FloatTok">
    <w:name w:val="FloatTok"/>
    <w:qFormat/>
    <w:rPr>
      <w:rFonts w:ascii="Consolas" w:hAnsi="Consolas" w:cs="Consolas"/>
      <w:color w:val="40A070"/>
      <w:sz w:val="22"/>
    </w:rPr>
  </w:style>
  <w:style w:type="character" w:styleId="ConstantTok">
    <w:name w:val="ConstantTok"/>
    <w:qFormat/>
    <w:rPr>
      <w:rFonts w:ascii="Consolas" w:hAnsi="Consolas" w:cs="Consolas"/>
      <w:color w:val="880000"/>
      <w:sz w:val="22"/>
    </w:rPr>
  </w:style>
  <w:style w:type="character" w:styleId="CharTok">
    <w:name w:val="CharTok"/>
    <w:qFormat/>
    <w:rPr>
      <w:rFonts w:ascii="Consolas" w:hAnsi="Consolas" w:cs="Consolas"/>
      <w:color w:val="4070A0"/>
      <w:sz w:val="22"/>
    </w:rPr>
  </w:style>
  <w:style w:type="character" w:styleId="SpecialCharTok">
    <w:name w:val="SpecialCharTok"/>
    <w:qFormat/>
    <w:rPr>
      <w:rFonts w:ascii="Consolas" w:hAnsi="Consolas" w:cs="Consolas"/>
      <w:color w:val="4070A0"/>
      <w:sz w:val="22"/>
    </w:rPr>
  </w:style>
  <w:style w:type="character" w:styleId="StringTok">
    <w:name w:val="StringTok"/>
    <w:qFormat/>
    <w:rPr>
      <w:rFonts w:ascii="Consolas" w:hAnsi="Consolas" w:cs="Consolas"/>
      <w:color w:val="4070A0"/>
      <w:sz w:val="22"/>
    </w:rPr>
  </w:style>
  <w:style w:type="character" w:styleId="VerbatimStringTok">
    <w:name w:val="VerbatimStringTok"/>
    <w:qFormat/>
    <w:rPr>
      <w:rFonts w:ascii="Consolas" w:hAnsi="Consolas" w:cs="Consolas"/>
      <w:color w:val="4070A0"/>
      <w:sz w:val="22"/>
    </w:rPr>
  </w:style>
  <w:style w:type="character" w:styleId="SpecialStringTok">
    <w:name w:val="SpecialStringTok"/>
    <w:qFormat/>
    <w:rPr>
      <w:rFonts w:ascii="Consolas" w:hAnsi="Consolas" w:cs="Consolas"/>
      <w:color w:val="BB6688"/>
      <w:sz w:val="22"/>
    </w:rPr>
  </w:style>
  <w:style w:type="character" w:styleId="ImportTok">
    <w:name w:val="ImportTok"/>
    <w:qFormat/>
    <w:rPr>
      <w:rFonts w:ascii="Consolas" w:hAnsi="Consolas" w:cs="Consolas"/>
      <w:b/>
      <w:color w:val="008000"/>
      <w:sz w:val="22"/>
    </w:rPr>
  </w:style>
  <w:style w:type="character" w:styleId="CommentTok">
    <w:name w:val="CommentTok"/>
    <w:qFormat/>
    <w:rPr>
      <w:rFonts w:ascii="Consolas" w:hAnsi="Consolas" w:cs="Consolas"/>
      <w:i/>
      <w:color w:val="60A0B0"/>
      <w:sz w:val="22"/>
    </w:rPr>
  </w:style>
  <w:style w:type="character" w:styleId="DocumentationTok">
    <w:name w:val="DocumentationTok"/>
    <w:qFormat/>
    <w:rPr>
      <w:rFonts w:ascii="Consolas" w:hAnsi="Consolas" w:cs="Consolas"/>
      <w:i/>
      <w:color w:val="BA2121"/>
      <w:sz w:val="22"/>
    </w:rPr>
  </w:style>
  <w:style w:type="character" w:styleId="AnnotationTok">
    <w:name w:val="AnnotationTok"/>
    <w:qFormat/>
    <w:rPr>
      <w:rFonts w:ascii="Consolas" w:hAnsi="Consolas" w:cs="Consolas"/>
      <w:b/>
      <w:i/>
      <w:color w:val="60A0B0"/>
      <w:sz w:val="22"/>
    </w:rPr>
  </w:style>
  <w:style w:type="character" w:styleId="CommentVarTok">
    <w:name w:val="CommentVarTok"/>
    <w:qFormat/>
    <w:rPr>
      <w:rFonts w:ascii="Consolas" w:hAnsi="Consolas" w:cs="Consolas"/>
      <w:b/>
      <w:i/>
      <w:color w:val="60A0B0"/>
      <w:sz w:val="22"/>
    </w:rPr>
  </w:style>
  <w:style w:type="character" w:styleId="OtherTok">
    <w:name w:val="OtherTok"/>
    <w:qFormat/>
    <w:rPr>
      <w:rFonts w:ascii="Consolas" w:hAnsi="Consolas" w:cs="Consolas"/>
      <w:color w:val="007020"/>
      <w:sz w:val="22"/>
    </w:rPr>
  </w:style>
  <w:style w:type="character" w:styleId="FunctionTok">
    <w:name w:val="FunctionTok"/>
    <w:qFormat/>
    <w:rPr>
      <w:rFonts w:ascii="Consolas" w:hAnsi="Consolas" w:cs="Consolas"/>
      <w:color w:val="06287E"/>
      <w:sz w:val="22"/>
    </w:rPr>
  </w:style>
  <w:style w:type="character" w:styleId="VariableTok">
    <w:name w:val="VariableTok"/>
    <w:qFormat/>
    <w:rPr>
      <w:rFonts w:ascii="Consolas" w:hAnsi="Consolas" w:cs="Consolas"/>
      <w:color w:val="19177C"/>
      <w:sz w:val="22"/>
    </w:rPr>
  </w:style>
  <w:style w:type="character" w:styleId="ControlFlowTok">
    <w:name w:val="ControlFlowTok"/>
    <w:qFormat/>
    <w:rPr>
      <w:rFonts w:ascii="Consolas" w:hAnsi="Consolas" w:cs="Consolas"/>
      <w:b/>
      <w:color w:val="007020"/>
      <w:sz w:val="22"/>
    </w:rPr>
  </w:style>
  <w:style w:type="character" w:styleId="OperatorTok">
    <w:name w:val="OperatorTok"/>
    <w:qFormat/>
    <w:rPr>
      <w:rFonts w:ascii="Consolas" w:hAnsi="Consolas" w:cs="Consolas"/>
      <w:color w:val="666666"/>
      <w:sz w:val="22"/>
    </w:rPr>
  </w:style>
  <w:style w:type="character" w:styleId="BuiltInTok">
    <w:name w:val="BuiltInTok"/>
    <w:qFormat/>
    <w:rPr>
      <w:rFonts w:ascii="Consolas" w:hAnsi="Consolas" w:cs="Consolas"/>
      <w:color w:val="008000"/>
      <w:sz w:val="22"/>
    </w:rPr>
  </w:style>
  <w:style w:type="character" w:styleId="ExtensionTok">
    <w:name w:val="ExtensionTok"/>
    <w:basedOn w:val="VerbatimChar"/>
    <w:qFormat/>
    <w:rPr/>
  </w:style>
  <w:style w:type="character" w:styleId="PreprocessorTok">
    <w:name w:val="PreprocessorTok"/>
    <w:qFormat/>
    <w:rPr>
      <w:rFonts w:ascii="Consolas" w:hAnsi="Consolas" w:cs="Consolas"/>
      <w:color w:val="BC7A00"/>
      <w:sz w:val="22"/>
    </w:rPr>
  </w:style>
  <w:style w:type="character" w:styleId="AttributeTok">
    <w:name w:val="AttributeTok"/>
    <w:qFormat/>
    <w:rPr>
      <w:rFonts w:ascii="Consolas" w:hAnsi="Consolas" w:cs="Consolas"/>
      <w:color w:val="7D9029"/>
      <w:sz w:val="22"/>
    </w:rPr>
  </w:style>
  <w:style w:type="character" w:styleId="RegionMarkerTok">
    <w:name w:val="RegionMarkerTok"/>
    <w:basedOn w:val="VerbatimChar"/>
    <w:qFormat/>
    <w:rPr/>
  </w:style>
  <w:style w:type="character" w:styleId="InformationTok">
    <w:name w:val="InformationTok"/>
    <w:qFormat/>
    <w:rPr>
      <w:rFonts w:ascii="Consolas" w:hAnsi="Consolas" w:cs="Consolas"/>
      <w:b/>
      <w:i/>
      <w:color w:val="60A0B0"/>
      <w:sz w:val="22"/>
    </w:rPr>
  </w:style>
  <w:style w:type="character" w:styleId="WarningTok">
    <w:name w:val="WarningTok"/>
    <w:qFormat/>
    <w:rPr>
      <w:rFonts w:ascii="Consolas" w:hAnsi="Consolas" w:cs="Consolas"/>
      <w:b/>
      <w:i/>
      <w:color w:val="60A0B0"/>
      <w:sz w:val="22"/>
    </w:rPr>
  </w:style>
  <w:style w:type="character" w:styleId="AlertTok">
    <w:name w:val="AlertTok"/>
    <w:qFormat/>
    <w:rPr>
      <w:rFonts w:ascii="Consolas" w:hAnsi="Consolas" w:cs="Consolas"/>
      <w:b/>
      <w:color w:val="FF0000"/>
      <w:sz w:val="22"/>
    </w:rPr>
  </w:style>
  <w:style w:type="character" w:styleId="ErrorTok">
    <w:name w:val="ErrorTok"/>
    <w:qFormat/>
    <w:rPr>
      <w:rFonts w:ascii="Consolas" w:hAnsi="Consolas" w:cs="Consolas"/>
      <w:b/>
      <w:color w:val="FF0000"/>
      <w:sz w:val="22"/>
    </w:rPr>
  </w:style>
  <w:style w:type="character" w:styleId="NormalTok">
    <w:name w:val="NormalTok"/>
    <w:basedOn w:val="VerbatimChar"/>
    <w:qFormat/>
    <w:rPr/>
  </w:style>
  <w:style w:type="character" w:styleId="Style7">
    <w:name w:val="頁首 字元"/>
    <w:qFormat/>
    <w:rPr>
      <w:sz w:val="20"/>
      <w:szCs w:val="20"/>
    </w:rPr>
  </w:style>
  <w:style w:type="character" w:styleId="Style8">
    <w:name w:val="頁尾 字元"/>
    <w:qFormat/>
    <w:rPr>
      <w:sz w:val="20"/>
      <w:szCs w:val="20"/>
    </w:rPr>
  </w:style>
  <w:style w:type="character" w:styleId="Strong">
    <w:name w:val="Strong"/>
    <w:qFormat/>
    <w:rPr>
      <w:b/>
      <w:bCs/>
    </w:rPr>
  </w:style>
  <w:style w:type="character" w:styleId="Style9">
    <w:name w:val="註解方塊文字 字元"/>
    <w:qFormat/>
    <w:rPr>
      <w:rFonts w:ascii="Arial" w:hAnsi="Arial" w:eastAsia="細明體;MingLiU" w:cs="Times New Roman"/>
      <w:sz w:val="18"/>
      <w:szCs w:val="18"/>
      <w:lang w:bidi="ar-SA"/>
    </w:rPr>
  </w:style>
  <w:style w:type="paragraph" w:styleId="Heading">
    <w:name w:val="Heading"/>
    <w:basedOn w:val="Normal"/>
    <w:next w:val="BodyText"/>
    <w:qFormat/>
    <w:pPr>
      <w:keepNext w:val="true"/>
      <w:keepLines/>
      <w:spacing w:before="480" w:after="240"/>
      <w:jc w:val="center"/>
    </w:pPr>
    <w:rPr>
      <w:rFonts w:ascii="Calibri" w:hAnsi="Calibri" w:eastAsia="新細明體;PMingLiU;新細明體" w:cs="Times New Roman"/>
      <w:b/>
      <w:bCs/>
      <w:color w:val="345A8A"/>
      <w:sz w:val="36"/>
      <w:szCs w:val="36"/>
    </w:rPr>
  </w:style>
  <w:style w:type="paragraph" w:styleId="BodyText">
    <w:name w:val="Body Text"/>
    <w:basedOn w:val="Normal"/>
    <w:pPr>
      <w:spacing w:before="180" w:after="180"/>
    </w:pPr>
    <w:rPr/>
  </w:style>
  <w:style w:type="paragraph" w:styleId="List">
    <w:name w:val="List"/>
    <w:basedOn w:val="BodyText"/>
    <w:pPr/>
    <w:rPr>
      <w:rFonts w:cs="FreeSans;Times New Roman"/>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Times New Roman"/>
    </w:rPr>
  </w:style>
  <w:style w:type="paragraph" w:styleId="Style10">
    <w:name w:val="標號"/>
    <w:basedOn w:val="Normal"/>
    <w:qFormat/>
    <w:pPr>
      <w:spacing w:before="0" w:after="120"/>
    </w:pPr>
    <w:rPr>
      <w:i/>
    </w:rPr>
  </w:style>
  <w:style w:type="paragraph" w:styleId="FirstParagraph">
    <w:name w:val="First Paragraph"/>
    <w:basedOn w:val="BodyText"/>
    <w:next w:val="BodyText"/>
    <w:qFormat/>
    <w:pPr/>
    <w:rPr/>
  </w:style>
  <w:style w:type="paragraph" w:styleId="Compact">
    <w:name w:val="Compact"/>
    <w:basedOn w:val="BodyText"/>
    <w:qFormat/>
    <w:pPr>
      <w:spacing w:before="36" w:after="36"/>
    </w:pPr>
    <w:rPr/>
  </w:style>
  <w:style w:type="paragraph" w:styleId="Subtitle">
    <w:name w:val="Subtitle"/>
    <w:basedOn w:val="Heading"/>
    <w:next w:val="BodyText"/>
    <w:qFormat/>
    <w:pPr>
      <w:keepNext w:val="true"/>
      <w:keepLines/>
      <w:spacing w:before="240" w:after="240"/>
      <w:jc w:val="center"/>
    </w:pPr>
    <w:rPr>
      <w:sz w:val="30"/>
      <w:szCs w:val="30"/>
    </w:rPr>
  </w:style>
  <w:style w:type="paragraph" w:styleId="Author">
    <w:name w:val="Author"/>
    <w:next w:val="BodyText"/>
    <w:qFormat/>
    <w:pPr>
      <w:keepNext w:val="true"/>
      <w:keepLines/>
      <w:widowControl/>
      <w:suppressAutoHyphens w:val="true"/>
      <w:bidi w:val="0"/>
      <w:spacing w:before="0" w:after="200"/>
      <w:jc w:val="center"/>
    </w:pPr>
    <w:rPr>
      <w:rFonts w:ascii="Cambria" w:hAnsi="Cambria" w:eastAsia="新細明體;PMingLiU;新細明體" w:cs="Times New Roman"/>
      <w:color w:val="auto"/>
      <w:sz w:val="24"/>
      <w:szCs w:val="24"/>
      <w:lang w:val="en-US" w:eastAsia="zh-CN" w:bidi="ar-SA"/>
    </w:rPr>
  </w:style>
  <w:style w:type="paragraph" w:styleId="Style11">
    <w:name w:val="日期"/>
    <w:next w:val="BodyText"/>
    <w:qFormat/>
    <w:pPr>
      <w:keepNext w:val="true"/>
      <w:keepLines/>
      <w:widowControl/>
      <w:suppressAutoHyphens w:val="true"/>
      <w:bidi w:val="0"/>
      <w:spacing w:before="0" w:after="200"/>
      <w:jc w:val="center"/>
    </w:pPr>
    <w:rPr>
      <w:rFonts w:ascii="Cambria" w:hAnsi="Cambria" w:eastAsia="新細明體;PMingLiU;新細明體" w:cs="Times New Roman"/>
      <w:color w:val="auto"/>
      <w:sz w:val="24"/>
      <w:szCs w:val="24"/>
      <w:lang w:val="en-US" w:eastAsia="zh-CN" w:bidi="ar-SA"/>
    </w:rPr>
  </w:style>
  <w:style w:type="paragraph" w:styleId="AbstractTitle">
    <w:name w:val="Abstract Title"/>
    <w:basedOn w:val="Normal"/>
    <w:next w:val="Abstract"/>
    <w:qFormat/>
    <w:pPr>
      <w:keepNext w:val="true"/>
      <w:keepLines/>
      <w:spacing w:before="300" w:after="0"/>
      <w:jc w:val="center"/>
    </w:pPr>
    <w:rPr>
      <w:b/>
      <w:color w:val="345A8A"/>
      <w:sz w:val="20"/>
      <w:szCs w:val="20"/>
    </w:rPr>
  </w:style>
  <w:style w:type="paragraph" w:styleId="Abstract">
    <w:name w:val="Abstract"/>
    <w:basedOn w:val="Normal"/>
    <w:next w:val="BodyText"/>
    <w:qFormat/>
    <w:pPr>
      <w:keepNext w:val="true"/>
      <w:keepLines/>
      <w:spacing w:before="100" w:after="300"/>
    </w:pPr>
    <w:rPr>
      <w:sz w:val="20"/>
      <w:szCs w:val="20"/>
    </w:rPr>
  </w:style>
  <w:style w:type="paragraph" w:styleId="Style12">
    <w:name w:val="書目"/>
    <w:basedOn w:val="Normal"/>
    <w:qFormat/>
    <w:pPr/>
    <w:rPr/>
  </w:style>
  <w:style w:type="paragraph" w:styleId="Style13">
    <w:name w:val="區塊文字"/>
    <w:basedOn w:val="BodyText"/>
    <w:next w:val="BodyText"/>
    <w:qFormat/>
    <w:pPr>
      <w:spacing w:before="100" w:after="100"/>
      <w:ind w:hanging="0" w:start="480" w:end="480"/>
    </w:pPr>
    <w:rPr/>
  </w:style>
  <w:style w:type="paragraph" w:styleId="FootnoteText">
    <w:name w:val="Footnote Text"/>
    <w:basedOn w:val="Normal"/>
    <w:pPr/>
    <w:rPr/>
  </w:style>
  <w:style w:type="paragraph" w:styleId="DefinitionTerm">
    <w:name w:val="Definition Term"/>
    <w:basedOn w:val="Normal"/>
    <w:next w:val="Definition"/>
    <w:qFormat/>
    <w:pPr>
      <w:keepNext w:val="true"/>
      <w:keepLines/>
      <w:spacing w:before="0" w:after="0"/>
    </w:pPr>
    <w:rPr>
      <w:b/>
    </w:rPr>
  </w:style>
  <w:style w:type="paragraph" w:styleId="Definition">
    <w:name w:val="Definition"/>
    <w:basedOn w:val="Normal"/>
    <w:qFormat/>
    <w:pPr/>
    <w:rPr/>
  </w:style>
  <w:style w:type="paragraph" w:styleId="TableCaption">
    <w:name w:val="Table Caption"/>
    <w:basedOn w:val="Style10"/>
    <w:qFormat/>
    <w:pPr>
      <w:keepNext w:val="true"/>
    </w:pPr>
    <w:rPr/>
  </w:style>
  <w:style w:type="paragraph" w:styleId="ImageCaption">
    <w:name w:val="Image Caption"/>
    <w:basedOn w:val="Style10"/>
    <w:qFormat/>
    <w:pPr/>
    <w:rPr/>
  </w:style>
  <w:style w:type="paragraph" w:styleId="Figure">
    <w:name w:val="Figure"/>
    <w:basedOn w:val="Normal"/>
    <w:qFormat/>
    <w:pPr/>
    <w:rPr/>
  </w:style>
  <w:style w:type="paragraph" w:styleId="CaptionedFigure">
    <w:name w:val="Captioned Figure"/>
    <w:basedOn w:val="Figure"/>
    <w:qFormat/>
    <w:pPr>
      <w:keepNext w:val="true"/>
    </w:pPr>
    <w:rPr/>
  </w:style>
  <w:style w:type="paragraph" w:styleId="Style14">
    <w:name w:val="目錄標題"/>
    <w:basedOn w:val="Heading1"/>
    <w:next w:val="BodyText"/>
    <w:qFormat/>
    <w:pPr>
      <w:numPr>
        <w:ilvl w:val="0"/>
        <w:numId w:val="0"/>
      </w:numPr>
      <w:spacing w:lineRule="auto" w:line="254" w:before="240" w:after="0"/>
      <w:ind w:hanging="0" w:start="0" w:end="0"/>
      <w:outlineLvl w:val="9"/>
    </w:pPr>
    <w:rPr>
      <w:rFonts w:ascii="Calibri" w:hAnsi="Calibri" w:eastAsia="新細明體;PMingLiU;新細明體" w:cs="Times New Roman"/>
      <w:b w:val="false"/>
      <w:bCs w:val="false"/>
      <w:color w:val="365F91"/>
    </w:rPr>
  </w:style>
  <w:style w:type="paragraph" w:styleId="SourceCode">
    <w:name w:val="Source Code"/>
    <w:basedOn w:val="Normal"/>
    <w:qFormat/>
    <w:pPr/>
    <w:rPr/>
  </w:style>
  <w:style w:type="paragraph" w:styleId="HeaderandFooter">
    <w:name w:val="Header and Footer"/>
    <w:basedOn w:val="Normal"/>
    <w:qFormat/>
    <w:pPr>
      <w:suppressLineNumbers/>
    </w:pPr>
    <w:rPr/>
  </w:style>
  <w:style w:type="paragraph" w:styleId="Header">
    <w:name w:val="Header"/>
    <w:basedOn w:val="Normal"/>
    <w:pPr>
      <w:snapToGrid w:val="false"/>
    </w:pPr>
    <w:rPr>
      <w:sz w:val="20"/>
      <w:szCs w:val="20"/>
    </w:rPr>
  </w:style>
  <w:style w:type="paragraph" w:styleId="Footer">
    <w:name w:val="Footer"/>
    <w:basedOn w:val="Normal"/>
    <w:pPr>
      <w:snapToGrid w:val="false"/>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Style15">
    <w:name w:val="註解方塊文字"/>
    <w:basedOn w:val="Normal"/>
    <w:qFormat/>
    <w:pPr>
      <w:spacing w:before="0" w:after="0"/>
    </w:pPr>
    <w:rPr>
      <w:rFonts w:ascii="Arial" w:hAnsi="Arial" w:eastAsia="細明體;MingLiU" w:cs="Times New Roman"/>
      <w:sz w:val="18"/>
      <w:szCs w:val="18"/>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2026-07-23T13:25:00Z</dcterms:created>
  <dc:creator>user</dc:creator>
  <dc:description/>
  <cp:keywords/>
  <dc:language>en-US</dc:language>
  <cp:lastModifiedBy>國津 黄</cp:lastModifiedBy>
  <cp:lastPrinted>2026-07-21T22:32:00Z</cp:lastPrinted>
  <dcterms:modified xsi:type="dcterms:W3CDTF">2026-07-23T13:25:00Z</dcterms:modified>
  <cp:revision>2</cp:revision>
  <dc:subject/>
  <dc:title/>
</cp:coreProperties>
</file>