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D0B95">
      <w:r>
        <w:rPr>
          <w:sz w:val="22"/>
        </w:rPr>
        <mc:AlternateContent>
          <mc:Choice Requires="wps">
            <w:drawing>
              <wp:anchor distT="0" distB="0" distL="114300" distR="114300" simplePos="0" relativeHeight="251659264" behindDoc="0" locked="0" layoutInCell="1" allowOverlap="1">
                <wp:simplePos x="0" y="0"/>
                <wp:positionH relativeFrom="column">
                  <wp:posOffset>1701165</wp:posOffset>
                </wp:positionH>
                <wp:positionV relativeFrom="paragraph">
                  <wp:posOffset>130175</wp:posOffset>
                </wp:positionV>
                <wp:extent cx="2048510" cy="365760"/>
                <wp:effectExtent l="33655" t="10795" r="51435" b="61595"/>
                <wp:wrapNone/>
                <wp:docPr id="1" name="圆角矩形 6"/>
                <wp:cNvGraphicFramePr/>
                <a:graphic xmlns:a="http://schemas.openxmlformats.org/drawingml/2006/main">
                  <a:graphicData uri="http://schemas.microsoft.com/office/word/2010/wordprocessingShape">
                    <wps:wsp>
                      <wps:cNvSpPr/>
                      <wps:spPr>
                        <a:xfrm>
                          <a:off x="0" y="0"/>
                          <a:ext cx="2048510" cy="365760"/>
                        </a:xfrm>
                        <a:prstGeom prst="roundRect">
                          <a:avLst/>
                        </a:prstGeom>
                      </wps:spPr>
                      <wps:style>
                        <a:lnRef idx="0">
                          <a:srgbClr val="FFFFFF"/>
                        </a:lnRef>
                        <a:fillRef idx="1">
                          <a:schemeClr val="accent1"/>
                        </a:fillRef>
                        <a:effectRef idx="2">
                          <a:schemeClr val="accent1"/>
                        </a:effectRef>
                        <a:fontRef idx="minor">
                          <a:schemeClr val="lt1"/>
                        </a:fontRef>
                      </wps:style>
                      <wps:txb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Schizophrenia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95pt;margin-top:10.25pt;height:28.8pt;width:161.3pt;z-index:251659264;v-text-anchor:middle;mso-width-relative:page;mso-height-relative:page;" fillcolor="#4F81BD [3204]" filled="t" stroked="f" coordsize="21600,21600" arcsize="0.166666666666667" o:gfxdata="UEsDBAoAAAAAAIdO4kAAAAAAAAAAAAAAAAAEAAAAZHJzL1BLAwQUAAAACACHTuJAosOiMNcAAAAJ&#10;AQAADwAAAGRycy9kb3ducmV2LnhtbE2PTWvDMAyG74P9B6PBLmN1UmjSZnFKGIxedtjSwa5urMUh&#10;sRxi9+vfTz1tt1fo4dWjcntxozjhHHpPCtJFAgKp9aanTsHX/u15DSJETUaPnlDBFQNsq/u7UhfG&#10;n+kTT03sBJdQKLQCG+NUSBlai06HhZ+QePfjZ6cjj3MnzazPXO5GuUySTDrdE1+wesJXi+3QHJ2C&#10;HT7ZLs/qmr7fZfMhh3oY8lqpx4c0eQER8RL/YLjpszpU7HTwRzJBjAqWWb5hlEOyAsHAanMLBwX5&#10;OgVZlfL/B9UvUEsDBBQAAAAIAIdO4kAHxEOrmwIAACEFAAAOAAAAZHJzL2Uyb0RvYy54bWytVMFu&#10;EzEQvSPxD5bvdJM0SUvUTRUaBSFVtGpAPTteb9aS7TG2N5vyAXwAZyQkLoiP4HMq+AzG3k0bWg49&#10;kMNmxjN+fvM845PTrVZkI5yXYHLaP+hRIgyHQpp1Tt+/W7w4psQHZgqmwIic3ghPT6fPn500diIG&#10;UIEqhCMIYvyksTmtQrCTLPO8Epr5A7DCYLAEp1lA162zwrEG0bXKBr3eOGvAFdYBF97j6rwN0g7R&#10;PQUQylJyMQdea2FCi+qEYgFL8pW0nk4T27IUPFyUpReBqJxipSF98RC0V/GbTU/YZO2YrSTvKLCn&#10;UHhQk2bS4KF3UHMWGKmdfASlJXfgoQwHHHTWFpIUwSr6vQfaLCtmRaoFpfb2TnT//2D5282lI7LI&#10;6ZgSwzRe+O2XT7+/f/719cftz29kHBVqrJ9g4tJeus7zaMZyt6XT8R8LIduk6s2dqmIbCMfFQW94&#10;POqj4Bxjh+PR0TjJnt3vts6H1wI0iUZOHdSmuMKrS4qyzbkPeCzm7/LiiR6ULBZSqeS49epMObJh&#10;eM3DxXH/1Tzyxi1/pSmDi2wiUl8gamJeB+GWVdGQlardFUMlhj38UVLISGZw2DnYNKMUwZCDcC1D&#10;le4n1vuIQ0RAjLjOlK1Yy+xwFBc7Yi3lRBJ2HJK3Ry+LyrdaRytsV1vcHc0VFDd4cUgkqe4tX0gU&#10;75z5cMkctjCyxCEPF/gpFTQ5hc6ipAL38V/rMR87C6OUNDgSOfUfauYEJeqNwZ572R8OETYkZzg6&#10;GkQl9iOr/Yip9RngdfTxObE8mTE/qJ1ZOtDX+BbM4qkYYobj2Tnlwe2cs9COKr4mXMxmKQ3nxrJw&#10;bpaWR/AosYFZHaCUqU3u1UE1o4OTk3TtpjyO5r6fsu5ft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sOiMNcAAAAJAQAADwAAAAAAAAABACAAAAAiAAAAZHJzL2Rvd25yZXYueG1sUEsBAhQAFAAA&#10;AAgAh07iQAfEQ6ubAgAAIQUAAA4AAAAAAAAAAQAgAAAAJgEAAGRycy9lMm9Eb2MueG1sUEsFBgAA&#10;AAAGAAYAWQEAADMGAAAAAA==&#10;">
                <v:fill on="t" focussize="0,0"/>
                <v:stroke on="f"/>
                <v:imagedata o:title=""/>
                <o:lock v:ext="edit" aspectratio="f"/>
                <v:shadow on="t" color="#000000" opacity="22937f" offset="0pt,1.81102362204724pt" origin="0f,32768f" matrix="65536f,0f,0f,65536f"/>
                <v:textbo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Schizophrenia</w:t>
                      </w:r>
                    </w:p>
                  </w:txbxContent>
                </v:textbox>
              </v:roundrect>
            </w:pict>
          </mc:Fallback>
        </mc:AlternateContent>
      </w:r>
    </w:p>
    <w:p w14:paraId="1CC22AB1">
      <w:pPr>
        <w:rPr>
          <w:rFonts w:ascii="Times New Roman" w:hAnsi="Times New Roman"/>
          <w:sz w:val="22"/>
        </w:rPr>
      </w:pPr>
    </w:p>
    <w:p w14:paraId="43B75D7E">
      <w:pPr>
        <w:rPr>
          <w:rFonts w:ascii="Times New Roman" w:hAnsi="Times New Roman"/>
          <w:sz w:val="22"/>
        </w:rPr>
      </w:pPr>
    </w:p>
    <w:p w14:paraId="183D9A66">
      <w:r>
        <w:rPr>
          <w:rFonts w:ascii="Times New Roman" w:hAnsi="Times New Roman"/>
          <w:sz w:val="22"/>
        </w:rPr>
        <w:t xml:space="preserve">Description：Schizophrenia is a mental disorder characterized by significant alterations in perception, thoughts, mood, and behavior. Symptoms are described in terms of positive, negative, and cognitive symptoms. The positive symptoms of schizophrenia are the same for any psychosis and are sometimes referred to as psychotic symptoms. These may be present in any of the different psychoses and are often transient, making early diagnosis of schizophrenia problematic. Psychosis noted for the first time in a person who is later diagnosed with schizophrenia is referred to as a first-episode psychosis (FEP).</w:t>
      </w:r>
    </w:p>
    <w:p w14:paraId="106E6481">
      <w:pPr>
        <w:rPr>
          <w:color w:val="0000FF"/>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Drug:</w:t>
      </w:r>
      <w:r>
        <w:rPr>
          <w:rFonts w:ascii="Times New Roman" w:hAnsi="Times New Roman"/>
          <w:b/>
          <w:color w:val="0000FF"/>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1. Risperidone</w:t>
      </w:r>
    </w:p>
    <w:p w14:paraId="0A950ECF">
      <w:r>
        <w:rPr>
          <w:rFonts w:ascii="Times New Roman" w:hAnsi="Times New Roman"/>
          <w:sz w:val="22"/>
        </w:rPr>
        <w:t xml:space="preserve">Description：Risperidone is a second-generation antipsychotic medication used to treat a number of mental health disorders including schizophrenia, bipolar mania, psychosis, or as an adjunct in severe depression.</w:t>
      </w:r>
    </w:p>
    <w:p w14:paraId="7E6D9CE0">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p>
    <w:p w14:paraId="4350E8F7">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Genetic Guidance for </w:t>
      </w:r>
      <w:r>
        <w:rPr>
          <w:rFonts w:ascii="Times New Roman" w:hAnsi="Times New Roman"/>
          <w:b/>
          <w:sz w:val="22"/>
        </w:rPr>
        <w:t>1. Risperidone</w:t>
      </w:r>
      <w:r>
        <w:br/>
      </w:r>
      <w:r>
        <w:rPr>
          <w:rFonts w:ascii="Times New Roman" w:hAnsi="Times New Roman"/>
          <w:b/>
          <w:color w:val="FF0000"/>
          <w:sz w:val="22"/>
        </w:rPr>
        <w:t>🚫 Consider alternative</w:t>
      </w:r>
    </w:p>
    <w:p w14:paraId="1A1D54A6">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r>
        <w:rPr>
          <w:rFonts w:ascii="Times New Roman" w:hAnsi="Times New Roman"/>
          <w:b/>
          <w:sz w:val="22"/>
        </w:rPr>
        <w:br w:type="textWrapping"/>
      </w:r>
    </w:p>
    <w:p w14:paraId="55F0998B">
      <w:pPr>
        <w:rPr>
          <w:rFonts w:ascii="Times New Roman" w:hAnsi="Times New Roman"/>
          <w:sz w:val="22"/>
        </w:rPr>
      </w:pPr>
      <w:r>
        <w:rPr>
          <w:rFonts w:ascii="Times New Roman" w:hAnsi="Times New Roman"/>
          <w:sz w:val="22"/>
        </w:rPr>
        <w:t xml:space="preserve">We have analyzed the</w:t>
      </w:r>
      <w:r>
        <w:rPr>
          <w:rFonts w:ascii="Times New Roman" w:hAnsi="Times New Roman"/>
          <w:color w:val="0070C0"/>
          <w:sz w:val="22"/>
        </w:rPr>
        <w:t xml:space="preserve"> rs165599 </w:t>
      </w:r>
      <w:r>
        <w:rPr>
          <w:rFonts w:ascii="Times New Roman" w:hAnsi="Times New Roman"/>
          <w:sz w:val="22"/>
        </w:rPr>
        <w:t xml:space="preserve">locus of your</w:t>
      </w:r>
      <w:r>
        <w:rPr>
          <w:rFonts w:ascii="Times New Roman" w:hAnsi="Times New Roman"/>
          <w:color w:val="0070C0"/>
          <w:sz w:val="22"/>
        </w:rPr>
        <w:t xml:space="preserve"> COMT</w:t>
      </w:r>
      <w:r>
        <w:rPr>
          <w:rFonts w:ascii="Times New Roman" w:hAnsi="Times New Roman"/>
          <w:sz w:val="22"/>
        </w:rPr>
        <w:t xml:space="preserve"> gene. Your genotype is determined to be</w:t>
      </w:r>
      <w:r>
        <w:rPr>
          <w:rFonts w:ascii="Times New Roman" w:hAnsi="Times New Roman"/>
          <w:color w:val="0070C0"/>
          <w:sz w:val="22"/>
        </w:rPr>
        <w:t xml:space="preserve"> AA. </w:t>
      </w:r>
      <w:r>
        <w:rPr>
          <w:rFonts w:ascii="Times New Roman" w:hAnsi="Times New Roman"/>
          <w:sz w:val="22"/>
        </w:rPr>
        <w:t xml:space="preserve">Patients with the AA genotype and schizophrenia who are treated with risperidone may have less improvement in symptoms as compared to patients with the GG genotype. Other genetic and clinical factors may also influence a patient's response to risperidone..</w:t>
      </w:r>
    </w:p>
    <w:p w14:paraId="13629AE2">
      <w:pPr>
        <w:rPr>
          <w:rFonts w:ascii="Times New Roman" w:hAnsi="Times New Roman"/>
          <w:sz w:val="22"/>
        </w:rPr>
      </w:pPr>
    </w:p>
    <w:p w14:paraId="783C3527">
      <w:pPr>
        <w:pStyle w:val="4"/>
        <w:jc w:val="cente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My Genetic Result Details</w:t>
      </w:r>
    </w:p>
    <w:p w14:paraId="25F72D2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2028"/>
        <w:gridCol w:w="1806"/>
        <w:gridCol w:w="2088"/>
        <w:gridCol w:w="1986"/>
      </w:tblGrid>
      <w:tr w14:paraId="25D7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2F5496"/>
          </w:tcPr>
          <w:p w14:paraId="773B1D3C">
            <w:pPr>
              <w:spacing w:after="0" w:line="240" w:lineRule="auto"/>
            </w:pPr>
            <w:r>
              <w:rPr>
                <w:rFonts w:ascii="Times New Roman" w:hAnsi="Times New Roman"/>
                <w:color w:val="FFFFFF"/>
                <w:sz w:val="22"/>
              </w:rPr>
              <w:t>Gene</w:t>
            </w:r>
          </w:p>
        </w:tc>
        <w:tc>
          <w:tcPr>
            <w:tcW w:w="1728" w:type="dxa"/>
            <w:shd w:val="clear" w:color="auto" w:fill="2F5496"/>
          </w:tcPr>
          <w:p w14:paraId="7692F446">
            <w:pPr>
              <w:spacing w:after="0" w:line="240" w:lineRule="auto"/>
            </w:pPr>
            <w:r>
              <w:rPr>
                <w:rFonts w:ascii="Times New Roman" w:hAnsi="Times New Roman"/>
                <w:color w:val="FFFFFF"/>
                <w:sz w:val="22"/>
              </w:rPr>
              <w:t>Variant</w:t>
            </w:r>
          </w:p>
        </w:tc>
        <w:tc>
          <w:tcPr>
            <w:tcW w:w="1728" w:type="dxa"/>
            <w:shd w:val="clear" w:color="auto" w:fill="2F5496"/>
          </w:tcPr>
          <w:p w14:paraId="566D09AF">
            <w:pPr>
              <w:spacing w:after="0" w:line="240" w:lineRule="auto"/>
            </w:pPr>
            <w:r>
              <w:rPr>
                <w:rFonts w:ascii="Times New Roman" w:hAnsi="Times New Roman"/>
                <w:color w:val="FFFFFF"/>
                <w:sz w:val="22"/>
              </w:rPr>
              <w:t>Genotype</w:t>
            </w:r>
          </w:p>
        </w:tc>
        <w:tc>
          <w:tcPr>
            <w:tcW w:w="1728" w:type="dxa"/>
            <w:shd w:val="clear" w:color="auto" w:fill="2F5496"/>
          </w:tcPr>
          <w:p w14:paraId="5661BECC">
            <w:pPr>
              <w:spacing w:after="0" w:line="240" w:lineRule="auto"/>
            </w:pPr>
            <w:r>
              <w:rPr>
                <w:rFonts w:ascii="Times New Roman" w:hAnsi="Times New Roman"/>
                <w:color w:val="FFFFFF"/>
                <w:sz w:val="22"/>
              </w:rPr>
              <w:t>Phenotype Category</w:t>
            </w:r>
          </w:p>
        </w:tc>
        <w:tc>
          <w:tcPr>
            <w:tcW w:w="1728" w:type="dxa"/>
            <w:shd w:val="clear" w:color="auto" w:fill="2F5496"/>
          </w:tcPr>
          <w:p w14:paraId="2B87980C">
            <w:pPr>
              <w:spacing w:after="0" w:line="240" w:lineRule="auto"/>
            </w:pPr>
            <w:r>
              <w:rPr>
                <w:rFonts w:ascii="Times New Roman" w:hAnsi="Times New Roman"/>
                <w:color w:val="FFFFFF"/>
                <w:sz w:val="22"/>
              </w:rPr>
              <w:t>Level of Evidence</w:t>
            </w:r>
          </w:p>
        </w:tc>
      </w:tr>
      <w:tr w14:paraId="7B22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1D21EF">
            <w:pPr>
              <w:spacing w:after="0" w:line="240" w:lineRule="auto"/>
            </w:pPr>
            <w:r>
              <w:rPr>
                <w:rFonts w:ascii="Times New Roman" w:hAnsi="Times New Roman"/>
                <w:sz w:val="22"/>
              </w:rPr>
              <w:t xml:space="preserve">COMT</w:t>
            </w:r>
          </w:p>
        </w:tc>
        <w:tc>
          <w:tcPr>
            <w:tcW w:w="1728" w:type="dxa"/>
          </w:tcPr>
          <w:p w14:paraId="634E60F8">
            <w:pPr>
              <w:spacing w:after="0" w:line="240" w:lineRule="auto"/>
            </w:pPr>
            <w:r>
              <w:rPr>
                <w:rFonts w:ascii="Times New Roman" w:hAnsi="Times New Roman"/>
                <w:sz w:val="22"/>
              </w:rPr>
              <w:t xml:space="preserve">rs165599</w:t>
            </w:r>
          </w:p>
        </w:tc>
        <w:tc>
          <w:tcPr>
            <w:tcW w:w="1728" w:type="dxa"/>
          </w:tcPr>
          <w:p w14:paraId="6D05F2FE">
            <w:pPr>
              <w:spacing w:after="0" w:line="240" w:lineRule="auto"/>
            </w:pPr>
            <w:r>
              <w:rPr>
                <w:rFonts w:ascii="Times New Roman" w:hAnsi="Times New Roman"/>
                <w:sz w:val="22"/>
              </w:rPr>
              <w:t xml:space="preserve">AA</w:t>
            </w:r>
          </w:p>
        </w:tc>
        <w:tc>
          <w:tcPr>
            <w:tcW w:w="1728" w:type="dxa"/>
          </w:tcPr>
          <w:p w14:paraId="38CA6CD4">
            <w:pPr>
              <w:spacing w:after="0" w:line="240" w:lineRule="auto"/>
            </w:pPr>
            <w:r>
              <w:rPr>
                <w:rFonts w:ascii="Times New Roman" w:hAnsi="Times New Roman"/>
                <w:sz w:val="22"/>
              </w:rPr>
              <w:t xml:space="preserve">Efficacy</w:t>
            </w:r>
          </w:p>
        </w:tc>
        <w:tc>
          <w:tcPr>
            <w:tcW w:w="1728" w:type="dxa"/>
          </w:tcPr>
          <w:p w14:paraId="743AACC0">
            <w:pPr>
              <w:spacing w:after="0" w:line="240" w:lineRule="auto"/>
            </w:pPr>
            <w:r>
              <w:rPr>
                <w:rFonts w:ascii="Times New Roman" w:hAnsi="Times New Roman"/>
                <w:sz w:val="22"/>
              </w:rPr>
              <w:t xml:space="preserve">3</w:t>
            </w:r>
          </w:p>
        </w:tc>
      </w:tr>
    </w:tbl>
    <w:p w14:paraId="63B26187">
      <w:r>
        <w:rPr>
          <w:rFonts w:ascii="Times New Roman" w:hAnsi="Times New Roman"/>
          <w:b/>
          <w:color w:val="000000"/>
          <w:sz w:val="18"/>
        </w:rPr>
        <w:t>* Level of Evidence：1A：Highest reliability；1B: Strong evidence；2A: Moderate reliability with enhanced pharmacogenetic focus ; 2B: Moderate evidence; 3: Emerging evidence; 4: Minimal to no evidence.</w:t>
      </w:r>
    </w:p>
    <w:p w14:paraId="0D5328BF">
      <w:pPr>
        <w:pStyle w:val="4"/>
        <w:jc w:val="left"/>
        <w:rPr>
          <w:rFonts w:ascii="Times New Roman" w:hAnsi="Times New Roman"/>
          <w:b/>
          <w:color w:val="000000"/>
          <w:sz w:val="28"/>
        </w:rPr>
      </w:pPr>
    </w:p>
    <w:p>
      <w:pPr>
        <w:jc w:val="center"/>
      </w:pPr>
      <w:r>
        <w:rPr>
          <w:rFonts w:ascii="Times New Roman" w:hAnsi="Times New Roman"/>
          <w:b/>
          <w:sz w:val="28"/>
        </w:rPr>
        <w:t>Detailed Drug Information: 1. Risperidone</w:t>
      </w:r>
    </w:p>
    <w:p>
      <w:r>
        <w:rPr>
          <w:rFonts w:ascii="Times New Roman" w:hAnsi="Times New Roman"/>
          <w:b/>
          <w:color w:val="000000"/>
          <w:sz w:val="24"/>
        </w:rPr>
        <w:t>Summary</w:t>
      </w:r>
    </w:p>
    <w:p>
      <w:pPr>
        <w:jc w:val="both"/>
      </w:pPr>
      <w:r>
        <w:rPr>
          <w:rFonts w:ascii="Times New Roman" w:hAnsi="Times New Roman"/>
          <w:sz w:val="22"/>
        </w:rPr>
        <w:t>Risperidone is a second-generation antipsychotic medication used to treat a number of mental health disorders including schizophrenia, bipolar mania, psychosis, or as an adjunct in severe depression.</w:t>
      </w:r>
    </w:p>
    <w:p>
      <w:r>
        <w:rPr>
          <w:rFonts w:ascii="Times New Roman" w:hAnsi="Times New Roman"/>
          <w:b/>
          <w:color w:val="000000"/>
          <w:sz w:val="24"/>
        </w:rPr>
        <w:t>Brand Names</w:t>
      </w:r>
    </w:p>
    <w:p>
      <w:pPr>
        <w:jc w:val="both"/>
      </w:pPr>
      <w:r>
        <w:rPr>
          <w:rFonts w:ascii="Times New Roman" w:hAnsi="Times New Roman"/>
          <w:sz w:val="22"/>
        </w:rPr>
        <w:t>Okedi, Perseris, Risperdal, Risvan, Rykindo, Uzedy</w:t>
      </w:r>
    </w:p>
    <w:p>
      <w:r>
        <w:rPr>
          <w:rFonts w:ascii="Times New Roman" w:hAnsi="Times New Roman"/>
          <w:b/>
          <w:color w:val="000000"/>
          <w:sz w:val="24"/>
        </w:rPr>
        <w:t>Pharmacodynamics</w:t>
      </w:r>
    </w:p>
    <w:p>
      <w:pPr>
        <w:jc w:val="both"/>
      </w:pPr>
      <w:r>
        <w:rPr>
          <w:rFonts w:ascii="Times New Roman" w:hAnsi="Times New Roman"/>
          <w:sz w:val="22"/>
        </w:rPr>
        <w:t>The primary action of risperidone is to decrease dopaminergic and serotonergic pathway activity in the brain, therefore decreasing symptoms of schizophrenia and mood disorders. Risperidone has a high binding affinity for serotonergic 5-HT2A receptors when compared to dopaminergic D receptors in the brain. Risperidone binds to D receptors with a lower affinity than first-generation antipsychotic drugs, which bind with very high affinity. A reduction in extrapyramidal symptoms with risperidone, when compared to its predecessors, is likely a result of its moderate affinity for dopaminergic D receptors.[3],[4],[2],[3],[7],[5]</w:t>
      </w:r>
    </w:p>
    <w:p>
      <w:r>
        <w:rPr>
          <w:rFonts w:ascii="Times New Roman" w:hAnsi="Times New Roman"/>
          <w:b/>
          <w:color w:val="000000"/>
          <w:sz w:val="24"/>
        </w:rPr>
        <w:t>Absorption</w:t>
      </w:r>
    </w:p>
    <w:p>
      <w:pPr>
        <w:jc w:val="both"/>
      </w:pPr>
      <w:r>
        <w:rPr>
          <w:rFonts w:ascii="Times New Roman" w:hAnsi="Times New Roman"/>
          <w:sz w:val="22"/>
        </w:rPr>
        <w:t>Well absorbed. The absolute oral bioavailability of risperidone is 70% (CV=25%). The relative oral bioavailability of risperidone from a tablet is 94% (CV=10%) when compared to a solution.[16]</w:t>
      </w:r>
    </w:p>
    <w:p>
      <w:r>
        <w:rPr>
          <w:rFonts w:ascii="Times New Roman" w:hAnsi="Times New Roman"/>
          <w:b/>
          <w:color w:val="000000"/>
          <w:sz w:val="24"/>
        </w:rPr>
        <w:t>Volume of distribution</w:t>
      </w:r>
    </w:p>
    <w:p>
      <w:pPr>
        <w:jc w:val="both"/>
      </w:pPr>
      <w:r>
        <w:rPr>
          <w:rFonts w:ascii="Times New Roman" w:hAnsi="Times New Roman"/>
          <w:sz w:val="22"/>
        </w:rPr>
        <w:t>The volume of distribution of risperidone is approximately 1 to 2 L/kg.[16]</w:t>
      </w:r>
    </w:p>
    <w:p>
      <w:r>
        <w:rPr>
          <w:rFonts w:ascii="Times New Roman" w:hAnsi="Times New Roman"/>
          <w:b/>
          <w:color w:val="000000"/>
          <w:sz w:val="24"/>
        </w:rPr>
        <w:t>Protein binding</w:t>
      </w:r>
    </w:p>
    <w:p>
      <w:pPr>
        <w:jc w:val="both"/>
      </w:pPr>
      <w:r>
        <w:rPr>
          <w:rFonts w:ascii="Times New Roman" w:hAnsi="Times New Roman"/>
          <w:sz w:val="22"/>
        </w:rPr>
        <w:t>Risperidone and its active metabolite, 9-hydroxyrisperidone, are ~88% and ~77% protein-bound in human plasma, respectively. They each bind to both serum albumin and alpha-1-acid glycoprotein.[9],[16],[16]</w:t>
      </w:r>
    </w:p>
    <w:p>
      <w:r>
        <w:rPr>
          <w:rFonts w:ascii="Times New Roman" w:hAnsi="Times New Roman"/>
          <w:b/>
          <w:color w:val="000000"/>
          <w:sz w:val="24"/>
        </w:rPr>
        <w:t>Metabolism</w:t>
      </w:r>
    </w:p>
    <w:p>
      <w:pPr>
        <w:jc w:val="both"/>
      </w:pPr>
      <w:r>
        <w:rPr>
          <w:rFonts w:ascii="Times New Roman" w:hAnsi="Times New Roman"/>
          <w:sz w:val="22"/>
        </w:rPr>
        <w:t>Extensively metabolized by hepatic cytochrome P450 2D isozyme to 9-hydroxyrisperidone (i.e. paliperidone), which has approximately the same receptor binding affinity as risperidone. Hydroxylation is dependent on debrisoquine 4-hydroxylase and metabolism is sensitive to genetic polymorphisms in debrisoquine 4-hydroxylase. Risperidone also undergoes N-dealkylation to a lesser extent. Hover over products below to view reaction partners Risperidone 9-hydroxyrisperidone.[6],[9],[7],[9],[7],[9]</w:t>
      </w:r>
    </w:p>
    <w:p>
      <w:r>
        <w:rPr>
          <w:rFonts w:ascii="Times New Roman" w:hAnsi="Times New Roman"/>
          <w:b/>
          <w:color w:val="000000"/>
          <w:sz w:val="24"/>
        </w:rPr>
        <w:t>Route of elimination</w:t>
      </w:r>
    </w:p>
    <w:p>
      <w:pPr>
        <w:jc w:val="both"/>
      </w:pPr>
      <w:r>
        <w:rPr>
          <w:rFonts w:ascii="Times New Roman" w:hAnsi="Times New Roman"/>
          <w:sz w:val="22"/>
        </w:rPr>
        <w:t>Risperidone is extensively metabolized in the liver. In healthy elderly subjects, renal clearance of both risperidone and 9-hydroxyrisperidone was decreased, and elimination half-lives are prolonged compared to young healthy subjects.[9],[15]</w:t>
      </w:r>
    </w:p>
    <w:p>
      <w:r>
        <w:rPr>
          <w:rFonts w:ascii="Times New Roman" w:hAnsi="Times New Roman"/>
          <w:b/>
          <w:color w:val="000000"/>
          <w:sz w:val="24"/>
        </w:rPr>
        <w:t>Half-life</w:t>
      </w:r>
    </w:p>
    <w:p>
      <w:pPr>
        <w:jc w:val="both"/>
      </w:pPr>
      <w:r>
        <w:rPr>
          <w:rFonts w:ascii="Times New Roman" w:hAnsi="Times New Roman"/>
          <w:sz w:val="22"/>
        </w:rPr>
        <w:t>3 hours in extensive metabolizers Up to 20 hours in poor metabolizers.[9],[9]</w:t>
      </w:r>
    </w:p>
    <w:p>
      <w:r>
        <w:rPr>
          <w:rFonts w:ascii="Times New Roman" w:hAnsi="Times New Roman"/>
          <w:b/>
          <w:color w:val="000000"/>
          <w:sz w:val="24"/>
        </w:rPr>
        <w:t>Clearance</w:t>
      </w:r>
    </w:p>
    <w:p>
      <w:pPr>
        <w:jc w:val="both"/>
      </w:pPr>
      <w:r>
        <w:rPr>
          <w:rFonts w:ascii="Times New Roman" w:hAnsi="Times New Roman"/>
          <w:sz w:val="22"/>
        </w:rPr>
        <w:t>Risperidone is cleared by the kidneys. Clearance is decreased in the elderly and those with a creatinine clearance (ClCr) between 15-59 mL/min, in whom clearance is decreased by approximately 60%.[15]</w:t>
      </w:r>
    </w:p>
    <w:p>
      <w:r>
        <w:rPr>
          <w:rFonts w:ascii="Times New Roman" w:hAnsi="Times New Roman"/>
          <w:b/>
          <w:color w:val="000000"/>
          <w:sz w:val="24"/>
        </w:rPr>
        <w:t>Toxicity</w:t>
      </w:r>
    </w:p>
    <w:p>
      <w:pPr>
        <w:jc w:val="both"/>
      </w:pPr>
      <w:r>
        <w:rPr>
          <w:rFonts w:ascii="Times New Roman" w:hAnsi="Times New Roman"/>
          <w:sz w:val="22"/>
        </w:rPr>
        <w:t>Symptoms of overdose include lethargy, dystonia/spasm, tachycardia, bradycardia, and seizures. LD50=5.7 mg/kg (rat, oral) and 34 mg/kg (rat, intravenous).[5],[6],[7]</w:t>
      </w:r>
    </w:p>
    <w:p/>
    <w:p>
      <w:r>
        <w:rPr>
          <w:rFonts w:ascii="Times New Roman" w:hAnsi="Times New Roman"/>
          <w:b/>
          <w:color w:val="000000"/>
          <w:sz w:val="24"/>
        </w:rPr>
        <w:t>General References</w:t>
      </w:r>
    </w:p>
    <w:p>
      <w:pPr>
        <w:ind w:left="400"/>
      </w:pPr>
      <w:r>
        <w:rPr>
          <w:rFonts w:ascii="Times New Roman" w:hAnsi="Times New Roman"/>
          <w:sz w:val="20"/>
        </w:rPr>
        <w:t>1. Altschuler EL, Kast RE: The atypical antipsychotic agents ziprasidone [correction of zisprasidone], risperdone and olanzapine as treatment for and prophylaxis against progressive multifocal leukoencephalopathy. Med Hypotheses. 2005;65(3):585-6. - https://go.drugbank.com/articles/A1113</w:t>
      </w:r>
    </w:p>
    <w:p>
      <w:pPr>
        <w:ind w:left="400"/>
      </w:pPr>
      <w:r>
        <w:rPr>
          <w:rFonts w:ascii="Times New Roman" w:hAnsi="Times New Roman"/>
          <w:sz w:val="20"/>
        </w:rPr>
        <w:t>2. Bostwick JR, Guthrie SK, Ellingrod VL: Antipsychotic-induced hyperprolactinemia. Pharmacotherapy. 2009 Jan;29(1):64-73. doi: 10.1592/phco.29.1.64. - https://go.drugbank.com/articles/A1114</w:t>
      </w:r>
    </w:p>
    <w:p>
      <w:pPr>
        <w:ind w:left="400"/>
      </w:pPr>
      <w:r>
        <w:rPr>
          <w:rFonts w:ascii="Times New Roman" w:hAnsi="Times New Roman"/>
          <w:sz w:val="20"/>
        </w:rPr>
        <w:t>3. Fenton C, Scott LJ: Risperidone: a review of its use in the treatment of bipolar mania. CNS Drugs. 2005;19(5):429-44. - https://go.drugbank.com/articles/A1115</w:t>
      </w:r>
    </w:p>
    <w:p>
      <w:pPr>
        <w:ind w:left="400"/>
      </w:pPr>
      <w:r>
        <w:rPr>
          <w:rFonts w:ascii="Times New Roman" w:hAnsi="Times New Roman"/>
          <w:sz w:val="20"/>
        </w:rPr>
        <w:t>4. Kemp DE, Canan F, Goldstein BI, McIntyre RS: Long-acting risperidone: a review of its role in the treatment of bipolar disorder. Adv Ther. 2009 Jun;26(6):588-99. doi: 10.1007/s12325-009-0039-0. Epub 2009 Jun 26. - https://go.drugbank.com/articles/A1116</w:t>
      </w:r>
    </w:p>
    <w:p>
      <w:pPr>
        <w:ind w:left="400"/>
      </w:pPr>
      <w:r>
        <w:rPr>
          <w:rFonts w:ascii="Times New Roman" w:hAnsi="Times New Roman"/>
          <w:sz w:val="20"/>
        </w:rPr>
        <w:t>5. Szarfman A, Tonning JM, Levine JG, Doraiswamy PM: Atypical antipsychotics and pituitary tumors: a pharmacovigilance study. Pharmacotherapy. 2006 Jun;26(6):748-58. - https://go.drugbank.com/articles/A1117</w:t>
      </w:r>
    </w:p>
    <w:p>
      <w:pPr>
        <w:ind w:left="400"/>
      </w:pPr>
      <w:r>
        <w:rPr>
          <w:rFonts w:ascii="Times New Roman" w:hAnsi="Times New Roman"/>
          <w:sz w:val="20"/>
        </w:rPr>
        <w:t>6. Urichuk L, Prior TI, Dursun S, Baker G: Metabolism of atypical antipsychotics: involvement of cytochrome p450 enzymes and relevance for drug-drug interactions. Curr Drug Metab. 2008 Jun;9(5):410-8. - https://go.drugbank.com/articles/A1118</w:t>
      </w:r>
    </w:p>
    <w:p>
      <w:pPr>
        <w:ind w:left="400"/>
      </w:pPr>
      <w:r>
        <w:rPr>
          <w:rFonts w:ascii="Times New Roman" w:hAnsi="Times New Roman"/>
          <w:sz w:val="20"/>
        </w:rPr>
        <w:t>7. Yamanouchi Y, Iwata N, Suzuki T, Kitajima T, Ikeda M, Ozaki N: Effect of DRD2, 5-HT2A, and COMT genes on antipsychotic response to risperidone. Pharmacogenomics J. 2003;3(6):356-61. - https://go.drugbank.com/articles/A1119</w:t>
      </w:r>
    </w:p>
    <w:p>
      <w:pPr>
        <w:ind w:left="400"/>
      </w:pPr>
      <w:r>
        <w:rPr>
          <w:rFonts w:ascii="Times New Roman" w:hAnsi="Times New Roman"/>
          <w:sz w:val="20"/>
        </w:rPr>
        <w:t>8. Acri AA, Henretig FM: Effects of risperidone in overdose. Am J Emerg Med. 1998 Sep;16(5):498-501. - https://go.drugbank.com/articles/A31771</w:t>
      </w:r>
    </w:p>
    <w:p>
      <w:pPr>
        <w:ind w:left="400"/>
      </w:pPr>
      <w:r>
        <w:rPr>
          <w:rFonts w:ascii="Times New Roman" w:hAnsi="Times New Roman"/>
          <w:sz w:val="20"/>
        </w:rPr>
        <w:t>9. Mannens G, Meuldermans W, Snoeck E, Heykants J: Plasma protein binding of risperidone and its distribution in blood. Psychopharmacology (Berl). 1994 May;114(4):566-72. - https://go.drugbank.com/articles/A31772</w:t>
      </w:r>
    </w:p>
    <w:p>
      <w:pPr>
        <w:ind w:left="400"/>
      </w:pPr>
      <w:r>
        <w:rPr>
          <w:rFonts w:ascii="Times New Roman" w:hAnsi="Times New Roman"/>
          <w:sz w:val="20"/>
        </w:rPr>
        <w:t>10. Hall H, Halldin C, Nyberg S, Farde L, Sedvall G: Effect of clozapine and risperidone on 5-HT2 and D2-dopamine receptor binding in the post-mortem human brain. An autoradiographic study. Eur Neuropsychopharmacol. 1995 Mar;5(1):19-25. - https://go.drugbank.com/articles/A31773</w:t>
      </w:r>
    </w:p>
    <w:p>
      <w:pPr>
        <w:ind w:left="400"/>
      </w:pPr>
      <w:r>
        <w:rPr>
          <w:rFonts w:ascii="Times New Roman" w:hAnsi="Times New Roman"/>
          <w:sz w:val="20"/>
        </w:rPr>
        <w:t>11. Kennedy SH, Lam RW, McIntyre RS, Tourjman SV, Bhat V, Blier P, Hasnain M, Jollant F, Levitt AJ, MacQueen GM, McInerney SJ, McIntosh D, Milev RV, Muller DJ, Parikh SV, Pearson NL, Ravindran AV, Uher R: Canadian Network for Mood and Anxiety Treatments (CANMAT) 2016 Clinical Guidelines for the Management of Adults with Major Depressive Disorder: Section 3. Pharmacological Treatments. Can J Psychiatry. 2016 Sep;61(9):540-60. doi: 10.1177/0706743716659417. Epub 2016 Aug 2. - https://go.drugbank.com/articles/A177226</w:t>
      </w:r>
    </w:p>
    <w:p>
      <w:pPr>
        <w:ind w:left="400"/>
      </w:pPr>
      <w:r>
        <w:rPr>
          <w:rFonts w:ascii="Times New Roman" w:hAnsi="Times New Roman"/>
          <w:sz w:val="20"/>
        </w:rPr>
        <w:t>12. Ejsing TB, Pedersen AD, Linnet K: P-glycoprotein interaction with risperidone and 9-OH-risperidone studied in vitro, in knock-out mice and in drug-drug interaction experiments. Hum Psychopharmacol. 2005 Oct;20(7):493-500. doi: 10.1002/hup.720. - https://go.drugbank.com/articles/A193530</w:t>
      </w:r>
    </w:p>
    <w:p>
      <w:pPr>
        <w:ind w:left="400"/>
      </w:pPr>
      <w:r>
        <w:rPr>
          <w:rFonts w:ascii="Times New Roman" w:hAnsi="Times New Roman"/>
          <w:sz w:val="20"/>
        </w:rPr>
        <w:t>13. Corena-McLeod M: Comparative Pharmacology of Risperidone and Paliperidone. Drugs R D. 2015 Jun;15(2):163-74. doi: 10.1007/s40268-015-0092-x. - https://go.drugbank.com/articles/A37034</w:t>
      </w:r>
    </w:p>
    <w:p>
      <w:pPr>
        <w:ind w:left="400"/>
      </w:pPr>
      <w:r>
        <w:rPr>
          <w:rFonts w:ascii="Times New Roman" w:hAnsi="Times New Roman"/>
          <w:sz w:val="20"/>
        </w:rPr>
        <w:t>14. McEvoy JP: Efficacy of risperidone on positive features of schizophrenia. J Clin Psychiatry. 1994 May;55 Suppl:18-21. - https://go.drugbank.com/articles/A251765</w:t>
      </w:r>
    </w:p>
    <w:p>
      <w:pPr>
        <w:ind w:left="400"/>
      </w:pPr>
      <w:r>
        <w:rPr>
          <w:rFonts w:ascii="Times New Roman" w:hAnsi="Times New Roman"/>
          <w:sz w:val="20"/>
        </w:rPr>
        <w:t>15. Pharmacokinetics of Risperidone: Clinical Summary - https://psychopharmacologyinstitute.com/antipsychotics/risperidone/pharmacokinetics-risperidone/</w:t>
      </w:r>
    </w:p>
    <w:p>
      <w:pPr>
        <w:ind w:left="400"/>
      </w:pPr>
      <w:r>
        <w:rPr>
          <w:rFonts w:ascii="Times New Roman" w:hAnsi="Times New Roman"/>
          <w:sz w:val="20"/>
        </w:rPr>
        <w:t>16. FDA Approved Drug Products: Risperdal (risperidone) for oral use - https://www.accessdata.fda.gov/drugsatfda_docs/label/2020/020272s085,020588s072,021444s058lbl.pdf</w:t>
      </w:r>
    </w:p>
    <w:p>
      <w:pPr>
        <w:ind w:left="400"/>
      </w:pPr>
      <w:r>
        <w:rPr>
          <w:rFonts w:ascii="Times New Roman" w:hAnsi="Times New Roman"/>
          <w:sz w:val="20"/>
        </w:rPr>
        <w:t>17. FDA Approved Drug Products: Risperdal Consta (risperidone) long-acting intramuscular injection - https://www.accessdata.fda.gov/drugsatfda_docs/label/2020/021346s063lbl.pdf</w:t>
      </w:r>
    </w:p>
    <w:p>
      <w:pPr>
        <w:ind w:left="400"/>
      </w:pPr>
      <w:r>
        <w:rPr>
          <w:rFonts w:ascii="Times New Roman" w:hAnsi="Times New Roman"/>
          <w:sz w:val="20"/>
        </w:rPr>
        <w:t>18. FDA Approved Drug Products: Perseris (risperidone) extended-release suspension for subcutaneous injection - https://www.accessdata.fda.gov/drugsatfda_docs/label/2020/210655s004lbl.pdf</w:t>
      </w:r>
    </w:p>
    <w:p>
      <w:pPr>
        <w:ind w:left="400"/>
      </w:pPr>
      <w:r>
        <w:rPr>
          <w:rFonts w:ascii="Times New Roman" w:hAnsi="Times New Roman"/>
          <w:sz w:val="20"/>
        </w:rPr>
        <w:t>19. Health Canada Product Monograph: Risperdal (risperidone) oral tablets - https://pdf.hres.ca/dpd_pm/00047330.PDF</w:t>
      </w:r>
    </w:p>
    <w:p>
      <w:pPr>
        <w:ind w:left="400"/>
      </w:pPr>
      <w:r>
        <w:rPr>
          <w:rFonts w:ascii="Times New Roman" w:hAnsi="Times New Roman"/>
          <w:sz w:val="20"/>
        </w:rPr>
        <w:t>20. FDA Approved Drug Products: RYKINDO (risperidone) for extended-release injectable suspension, for intramuscular use - https://www.luye.cn/lvye_en/rykindo.pdf</w:t>
      </w:r>
    </w:p>
    <w:p>
      <w:pPr>
        <w:ind w:left="400"/>
      </w:pPr>
      <w:r>
        <w:rPr>
          <w:rFonts w:ascii="Times New Roman" w:hAnsi="Times New Roman"/>
          <w:sz w:val="20"/>
        </w:rPr>
        <w:t>21. FDA Approved Drug Products: UZEDY (risperidone) extended-release injectable suspension, for subcutaneous use - https://www.accessdata.fda.gov/drugsatfda_docs/label/2023/213586s000lbl.pdf</w:t>
      </w:r>
    </w:p>
    <w:p>
      <w:pPr>
        <w:ind w:left="400"/>
      </w:pPr>
      <w:r>
        <w:rPr>
          <w:rFonts w:ascii="Times New Roman" w:hAnsi="Times New Roman"/>
          <w:sz w:val="20"/>
        </w:rPr>
        <w:t>22. FDA Label - Risperidone - https://s3-us-west-2.amazonaws.com/drugbank/cite_this/attachments/files/000/004/697/original/FDA_Label_-_Risperidone.pdf?1568147588</w:t>
      </w:r>
    </w:p>
    <w:p>
      <w:pPr>
        <w:ind w:left="400"/>
      </w:pPr>
      <w:r>
        <w:rPr>
          <w:rFonts w:ascii="Times New Roman" w:hAnsi="Times New Roman"/>
          <w:sz w:val="20"/>
        </w:rPr>
        <w:t>23. Health Canada Monograph - Risperidone - https://s3-us-west-2.amazonaws.com/drugbank/cite_this/attachments/files/000/004/700/original/Health_Canada_Monograph_-_Risperidone.PDF?1568147609</w:t>
      </w:r>
    </w:p>
    <w:p w14:paraId="6DCCAE92">
      <w:pPr>
        <w:pStyle w:val="4"/>
        <w:jc w:val="left"/>
      </w:pPr>
      <w:r>
        <w:rPr>
          <w:rFonts w:ascii="Times New Roman" w:hAnsi="Times New Roman"/>
          <w:b/>
          <w:color w:val="000000"/>
          <w:sz w:val="28"/>
        </w:rPr>
        <w:t>How to use the test results</w:t>
      </w:r>
    </w:p>
    <w:p w14:paraId="4A8C25FB">
      <w:pPr>
        <w:pStyle w:val="4"/>
        <w:jc w:val="left"/>
      </w:pPr>
      <w:r>
        <w:rPr>
          <w:rFonts w:ascii="Times New Roman" w:hAnsi="Times New Roman"/>
          <w:b/>
          <w:color w:val="000000"/>
          <w:sz w:val="24"/>
        </w:rPr>
        <w:t>Notification</w:t>
      </w:r>
    </w:p>
    <w:p w14:paraId="1420DBF4">
      <w:r>
        <w:rPr>
          <w:rFonts w:ascii="Times New Roman" w:hAnsi="Times New Roman"/>
          <w:sz w:val="22"/>
        </w:rPr>
        <w:t>The test does not yet have the qualifications for clinical diagnosis. The test results and medication recommendations provided are for reference only and cannot be directly used as the basis for clinical medication. If you have relevant medication needs, you can consult authoritative clinicians or professionals based on the results of this genetic test to obtain professional medication recommendations or follow the doctor's advice for clinically qualified inspection and test.</w:t>
      </w:r>
    </w:p>
    <w:p w14:paraId="64535D15">
      <w:pPr>
        <w:pStyle w:val="4"/>
        <w:jc w:val="left"/>
      </w:pPr>
      <w:r>
        <w:rPr>
          <w:rFonts w:ascii="Times New Roman" w:hAnsi="Times New Roman"/>
          <w:b/>
          <w:color w:val="000000"/>
          <w:sz w:val="24"/>
        </w:rPr>
        <w:t>Test content</w:t>
      </w:r>
    </w:p>
    <w:p w14:paraId="00C5FE89">
      <w:pPr>
        <w:rPr>
          <w:rFonts w:ascii="Times New Roman" w:hAnsi="Times New Roman"/>
          <w:sz w:val="22"/>
        </w:rPr>
      </w:pPr>
      <w:r>
        <w:rPr>
          <w:rFonts w:ascii="Times New Roman" w:hAnsi="Times New Roman"/>
          <w:sz w:val="22"/>
        </w:rPr>
        <w:t>Different genetic test versions and data sources may have different coverage of the above variants.</w:t>
      </w:r>
    </w:p>
    <w:p w14:paraId="73827B66">
      <w:pPr>
        <w:pStyle w:val="4"/>
        <w:jc w:val="left"/>
      </w:pPr>
      <w:r>
        <w:rPr>
          <w:rFonts w:ascii="Times New Roman" w:hAnsi="Times New Roman"/>
          <w:b/>
          <w:color w:val="000000"/>
          <w:sz w:val="24"/>
        </w:rPr>
        <w:t>Limit of detection</w:t>
      </w:r>
    </w:p>
    <w:p w14:paraId="444E6CA2">
      <w:r>
        <w:rPr>
          <w:rFonts w:ascii="Times New Roman" w:hAnsi="Times New Roman"/>
          <w:sz w:val="22"/>
        </w:rPr>
        <w:t>Test results are limited by the current technology and the level of scientific cognition. Depends on product package purchased, the test report may not cover all genes or loci related in each drug response. The accuracy of existing scientific research and the inherent detection error rate associated with the type of detection you purchase may also affect the accuracy of the interpretation of the item.</w:t>
      </w:r>
    </w:p>
    <w:p w14:paraId="76AB898E">
      <w:pPr>
        <w:rPr>
          <w:rFonts w:ascii="Times New Roman" w:hAnsi="Times New Roman"/>
          <w:sz w:val="22"/>
        </w:rPr>
      </w:pPr>
      <w:bookmarkStart w:id="0" w:name="_GoBack"/>
      <w:bookmarkEnd w:id="0"/>
    </w:p>
    <w:p w14:paraId="15AEC78B">
      <w:pPr>
        <w:rPr>
          <w:rFonts w:ascii="Times New Roman" w:hAnsi="Times New Roman"/>
          <w:sz w:val="22"/>
        </w:rPr>
      </w:pPr>
    </w:p>
    <w:p w14:paraId="115E6E25">
      <w:pPr>
        <w:rPr>
          <w:rFonts w:ascii="Times New Roman" w:hAnsi="Times New Roman"/>
          <w:sz w:val="22"/>
        </w:rPr>
      </w:pPr>
    </w:p>
    <w:p>
      <w:r>
        <w:br w:type="page"/>
      </w:r>
    </w:p>
    <w:p w14:paraId="67AD0B95">
      <w:r>
        <w:rPr>
          <w:sz w:val="22"/>
        </w:rPr>
        <mc:AlternateContent>
          <mc:Choice Requires="wps">
            <w:drawing>
              <wp:anchor distT="0" distB="0" distL="114300" distR="114300" simplePos="0" relativeHeight="251659264" behindDoc="0" locked="0" layoutInCell="1" allowOverlap="1">
                <wp:simplePos x="0" y="0"/>
                <wp:positionH relativeFrom="column">
                  <wp:posOffset>1701165</wp:posOffset>
                </wp:positionH>
                <wp:positionV relativeFrom="paragraph">
                  <wp:posOffset>130175</wp:posOffset>
                </wp:positionV>
                <wp:extent cx="2048510" cy="365760"/>
                <wp:effectExtent l="33655" t="10795" r="51435" b="61595"/>
                <wp:wrapNone/>
                <wp:docPr id="2" name="圆角矩形 6"/>
                <wp:cNvGraphicFramePr/>
                <a:graphic xmlns:a="http://schemas.openxmlformats.org/drawingml/2006/main">
                  <a:graphicData uri="http://schemas.microsoft.com/office/word/2010/wordprocessingShape">
                    <wps:wsp>
                      <wps:cNvSpPr/>
                      <wps:spPr>
                        <a:xfrm>
                          <a:off x="0" y="0"/>
                          <a:ext cx="2048510" cy="365760"/>
                        </a:xfrm>
                        <a:prstGeom prst="roundRect">
                          <a:avLst/>
                        </a:prstGeom>
                      </wps:spPr>
                      <wps:style>
                        <a:lnRef idx="0">
                          <a:srgbClr val="FFFFFF"/>
                        </a:lnRef>
                        <a:fillRef idx="1">
                          <a:schemeClr val="accent1"/>
                        </a:fillRef>
                        <a:effectRef idx="2">
                          <a:schemeClr val="accent1"/>
                        </a:effectRef>
                        <a:fontRef idx="minor">
                          <a:schemeClr val="lt1"/>
                        </a:fontRef>
                      </wps:style>
                      <wps:txb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Schizophrenia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95pt;margin-top:10.25pt;height:28.8pt;width:161.3pt;z-index:251659264;v-text-anchor:middle;mso-width-relative:page;mso-height-relative:page;" fillcolor="#4F81BD [3204]" filled="t" stroked="f" coordsize="21600,21600" arcsize="0.166666666666667" o:gfxdata="UEsDBAoAAAAAAIdO4kAAAAAAAAAAAAAAAAAEAAAAZHJzL1BLAwQUAAAACACHTuJAosOiMNcAAAAJ&#10;AQAADwAAAGRycy9kb3ducmV2LnhtbE2PTWvDMAyG74P9B6PBLmN1UmjSZnFKGIxedtjSwa5urMUh&#10;sRxi9+vfTz1tt1fo4dWjcntxozjhHHpPCtJFAgKp9aanTsHX/u15DSJETUaPnlDBFQNsq/u7UhfG&#10;n+kTT03sBJdQKLQCG+NUSBlai06HhZ+QePfjZ6cjj3MnzazPXO5GuUySTDrdE1+wesJXi+3QHJ2C&#10;HT7ZLs/qmr7fZfMhh3oY8lqpx4c0eQER8RL/YLjpszpU7HTwRzJBjAqWWb5hlEOyAsHAanMLBwX5&#10;OgVZlfL/B9UvUEsDBBQAAAAIAIdO4kAHxEOrmwIAACEFAAAOAAAAZHJzL2Uyb0RvYy54bWytVMFu&#10;EzEQvSPxD5bvdJM0SUvUTRUaBSFVtGpAPTteb9aS7TG2N5vyAXwAZyQkLoiP4HMq+AzG3k0bWg49&#10;kMNmxjN+fvM845PTrVZkI5yXYHLaP+hRIgyHQpp1Tt+/W7w4psQHZgqmwIic3ghPT6fPn500diIG&#10;UIEqhCMIYvyksTmtQrCTLPO8Epr5A7DCYLAEp1lA162zwrEG0bXKBr3eOGvAFdYBF97j6rwN0g7R&#10;PQUQylJyMQdea2FCi+qEYgFL8pW0nk4T27IUPFyUpReBqJxipSF98RC0V/GbTU/YZO2YrSTvKLCn&#10;UHhQk2bS4KF3UHMWGKmdfASlJXfgoQwHHHTWFpIUwSr6vQfaLCtmRaoFpfb2TnT//2D5282lI7LI&#10;6ZgSwzRe+O2XT7+/f/719cftz29kHBVqrJ9g4tJeus7zaMZyt6XT8R8LIduk6s2dqmIbCMfFQW94&#10;POqj4Bxjh+PR0TjJnt3vts6H1wI0iUZOHdSmuMKrS4qyzbkPeCzm7/LiiR6ULBZSqeS49epMObJh&#10;eM3DxXH/1Tzyxi1/pSmDi2wiUl8gamJeB+GWVdGQlardFUMlhj38UVLISGZw2DnYNKMUwZCDcC1D&#10;le4n1vuIQ0RAjLjOlK1Yy+xwFBc7Yi3lRBJ2HJK3Ry+LyrdaRytsV1vcHc0VFDd4cUgkqe4tX0gU&#10;75z5cMkctjCyxCEPF/gpFTQ5hc6ipAL38V/rMR87C6OUNDgSOfUfauYEJeqNwZ572R8OETYkZzg6&#10;GkQl9iOr/Yip9RngdfTxObE8mTE/qJ1ZOtDX+BbM4qkYYobj2Tnlwe2cs9COKr4mXMxmKQ3nxrJw&#10;bpaWR/AosYFZHaCUqU3u1UE1o4OTk3TtpjyO5r6fsu5ft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sOiMNcAAAAJAQAADwAAAAAAAAABACAAAAAiAAAAZHJzL2Rvd25yZXYueG1sUEsBAhQAFAAA&#10;AAgAh07iQAfEQ6ubAgAAIQUAAA4AAAAAAAAAAQAgAAAAJgEAAGRycy9lMm9Eb2MueG1sUEsFBgAA&#10;AAAGAAYAWQEAADMGAAAAAA==&#10;">
                <v:fill on="t" focussize="0,0"/>
                <v:stroke on="f"/>
                <v:imagedata o:title=""/>
                <o:lock v:ext="edit" aspectratio="f"/>
                <v:shadow on="t" color="#000000" opacity="22937f" offset="0pt,1.81102362204724pt" origin="0f,32768f" matrix="65536f,0f,0f,65536f"/>
                <v:textbo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Schizophrenia</w:t>
                      </w:r>
                    </w:p>
                  </w:txbxContent>
                </v:textbox>
              </v:roundrect>
            </w:pict>
          </mc:Fallback>
        </mc:AlternateContent>
      </w:r>
    </w:p>
    <w:p w14:paraId="1CC22AB1">
      <w:pPr>
        <w:rPr>
          <w:rFonts w:ascii="Times New Roman" w:hAnsi="Times New Roman"/>
          <w:sz w:val="22"/>
        </w:rPr>
      </w:pPr>
    </w:p>
    <w:p w14:paraId="43B75D7E">
      <w:pPr>
        <w:rPr>
          <w:rFonts w:ascii="Times New Roman" w:hAnsi="Times New Roman"/>
          <w:sz w:val="22"/>
        </w:rPr>
      </w:pPr>
    </w:p>
    <w:p w14:paraId="183D9A66">
      <w:r>
        <w:rPr>
          <w:rFonts w:ascii="Times New Roman" w:hAnsi="Times New Roman"/>
          <w:sz w:val="22"/>
        </w:rPr>
        <w:t xml:space="preserve">Description：Schizophrenia is a mental disorder characterized by significant alterations in perception, thoughts, mood, and behavior. Symptoms are described in terms of positive, negative, and cognitive symptoms. The positive symptoms of schizophrenia are the same for any psychosis and are sometimes referred to as psychotic symptoms. These may be present in any of the different psychoses and are often transient, making early diagnosis of schizophrenia problematic. Psychosis noted for the first time in a person who is later diagnosed with schizophrenia is referred to as a first-episode psychosis (FEP).</w:t>
      </w:r>
    </w:p>
    <w:p w14:paraId="106E6481">
      <w:pPr>
        <w:rPr>
          <w:color w:val="0000FF"/>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Drug:</w:t>
      </w:r>
      <w:r>
        <w:rPr>
          <w:rFonts w:ascii="Times New Roman" w:hAnsi="Times New Roman"/>
          <w:b/>
          <w:color w:val="0000FF"/>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1. Antipsychotics</w:t>
      </w:r>
    </w:p>
    <w:p w14:paraId="0A950ECF">
      <w:r>
        <w:rPr>
          <w:rFonts w:ascii="Times New Roman" w:hAnsi="Times New Roman"/>
          <w:sz w:val="22"/>
        </w:rPr>
        <w:t xml:space="preserve">Description：Antipsychotics are most frequently used for the following conditions: Schizophrenia Schizoaffective disorder most commonly in conjunction with either an antidepressant (in the case of the depressive subtype) or a mood stabilizer (in the case of the bipolar subtype). Antipsychotics possess mood stabilizing properties and thus they may be used as standalone medication to treat mood dysregulation. Bipolar disorder (acute mania and mixed episodes) may be treated with either typical or atypical antipsychotics, although atypical antipsychotics are usually preferred because they tend to have more favourable adverse effect profiles and, according to a recent meta-analysis, they tend to have a lower liability for causing conversion from mania to depression. Psychotic depression. In this indication it is a common practice for the psychiatrist to prescribe a combination of an atypical antipsychotic and an antidepressant as this practice is best supported by the evidence.</w:t>
      </w:r>
    </w:p>
    <w:p w14:paraId="7E6D9CE0">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p>
    <w:p w14:paraId="4350E8F7">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Genetic Guidance for </w:t>
      </w:r>
      <w:r>
        <w:rPr>
          <w:rFonts w:ascii="Times New Roman" w:hAnsi="Times New Roman"/>
          <w:b/>
          <w:sz w:val="22"/>
        </w:rPr>
        <w:t>1. Antipsychotics</w:t>
      </w:r>
      <w:r>
        <w:br/>
      </w:r>
      <w:r>
        <w:rPr>
          <w:rFonts w:ascii="Times New Roman" w:hAnsi="Times New Roman"/>
          <w:b/>
          <w:color w:val="FF0000"/>
          <w:sz w:val="22"/>
        </w:rPr>
        <w:t>⚠️ Use with caution</w:t>
      </w:r>
    </w:p>
    <w:p w14:paraId="1A1D54A6">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r>
        <w:rPr>
          <w:rFonts w:ascii="Times New Roman" w:hAnsi="Times New Roman"/>
          <w:b/>
          <w:sz w:val="22"/>
        </w:rPr>
        <w:br w:type="textWrapping"/>
      </w:r>
    </w:p>
    <w:p w14:paraId="55F0998B">
      <w:pPr>
        <w:rPr>
          <w:rFonts w:ascii="Times New Roman" w:hAnsi="Times New Roman"/>
          <w:sz w:val="22"/>
        </w:rPr>
      </w:pPr>
      <w:r>
        <w:rPr>
          <w:rFonts w:ascii="Times New Roman" w:hAnsi="Times New Roman"/>
          <w:sz w:val="22"/>
        </w:rPr>
        <w:t xml:space="preserve">We have analyzed the</w:t>
      </w:r>
      <w:r>
        <w:rPr>
          <w:rFonts w:ascii="Times New Roman" w:hAnsi="Times New Roman"/>
          <w:color w:val="0070C0"/>
          <w:sz w:val="22"/>
        </w:rPr>
        <w:t xml:space="preserve"> rs1801133 </w:t>
      </w:r>
      <w:r>
        <w:rPr>
          <w:rFonts w:ascii="Times New Roman" w:hAnsi="Times New Roman"/>
          <w:sz w:val="22"/>
        </w:rPr>
        <w:t xml:space="preserve">locus of your</w:t>
      </w:r>
      <w:r>
        <w:rPr>
          <w:rFonts w:ascii="Times New Roman" w:hAnsi="Times New Roman"/>
          <w:color w:val="0070C0"/>
          <w:sz w:val="22"/>
        </w:rPr>
        <w:t xml:space="preserve"> CLCN6;MTHFR</w:t>
      </w:r>
      <w:r>
        <w:rPr>
          <w:rFonts w:ascii="Times New Roman" w:hAnsi="Times New Roman"/>
          <w:sz w:val="22"/>
        </w:rPr>
        <w:t xml:space="preserve"> gene. Your genotype is determined to be</w:t>
      </w:r>
      <w:r>
        <w:rPr>
          <w:rFonts w:ascii="Times New Roman" w:hAnsi="Times New Roman"/>
          <w:color w:val="0070C0"/>
          <w:sz w:val="22"/>
        </w:rPr>
        <w:t xml:space="preserve"> AG. </w:t>
      </w:r>
      <w:r>
        <w:rPr>
          <w:rFonts w:ascii="Times New Roman" w:hAnsi="Times New Roman"/>
          <w:sz w:val="22"/>
        </w:rPr>
        <w:t xml:space="preserve">Patients with the AG genotype treated with antipsychotics may have increased risk for metabolic syndrome as compared to patients with the GG genotype. Other genetic and clinical factors may also influence a patient's risk for adverse events..</w:t>
      </w:r>
    </w:p>
    <w:p w14:paraId="13629AE2">
      <w:pPr>
        <w:rPr>
          <w:rFonts w:ascii="Times New Roman" w:hAnsi="Times New Roman"/>
          <w:sz w:val="22"/>
        </w:rPr>
      </w:pPr>
    </w:p>
    <w:p w14:paraId="783C3527">
      <w:pPr>
        <w:pStyle w:val="4"/>
        <w:jc w:val="cente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My Genetic Result Details</w:t>
      </w:r>
    </w:p>
    <w:p w14:paraId="25F72D2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2028"/>
        <w:gridCol w:w="1806"/>
        <w:gridCol w:w="2088"/>
        <w:gridCol w:w="1986"/>
      </w:tblGrid>
      <w:tr w14:paraId="25D7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2F5496"/>
          </w:tcPr>
          <w:p w14:paraId="773B1D3C">
            <w:pPr>
              <w:spacing w:after="0" w:line="240" w:lineRule="auto"/>
            </w:pPr>
            <w:r>
              <w:rPr>
                <w:rFonts w:ascii="Times New Roman" w:hAnsi="Times New Roman"/>
                <w:color w:val="FFFFFF"/>
                <w:sz w:val="22"/>
              </w:rPr>
              <w:t>Gene</w:t>
            </w:r>
          </w:p>
        </w:tc>
        <w:tc>
          <w:tcPr>
            <w:tcW w:w="1728" w:type="dxa"/>
            <w:shd w:val="clear" w:color="auto" w:fill="2F5496"/>
          </w:tcPr>
          <w:p w14:paraId="7692F446">
            <w:pPr>
              <w:spacing w:after="0" w:line="240" w:lineRule="auto"/>
            </w:pPr>
            <w:r>
              <w:rPr>
                <w:rFonts w:ascii="Times New Roman" w:hAnsi="Times New Roman"/>
                <w:color w:val="FFFFFF"/>
                <w:sz w:val="22"/>
              </w:rPr>
              <w:t>Variant</w:t>
            </w:r>
          </w:p>
        </w:tc>
        <w:tc>
          <w:tcPr>
            <w:tcW w:w="1728" w:type="dxa"/>
            <w:shd w:val="clear" w:color="auto" w:fill="2F5496"/>
          </w:tcPr>
          <w:p w14:paraId="566D09AF">
            <w:pPr>
              <w:spacing w:after="0" w:line="240" w:lineRule="auto"/>
            </w:pPr>
            <w:r>
              <w:rPr>
                <w:rFonts w:ascii="Times New Roman" w:hAnsi="Times New Roman"/>
                <w:color w:val="FFFFFF"/>
                <w:sz w:val="22"/>
              </w:rPr>
              <w:t>Genotype</w:t>
            </w:r>
          </w:p>
        </w:tc>
        <w:tc>
          <w:tcPr>
            <w:tcW w:w="1728" w:type="dxa"/>
            <w:shd w:val="clear" w:color="auto" w:fill="2F5496"/>
          </w:tcPr>
          <w:p w14:paraId="5661BECC">
            <w:pPr>
              <w:spacing w:after="0" w:line="240" w:lineRule="auto"/>
            </w:pPr>
            <w:r>
              <w:rPr>
                <w:rFonts w:ascii="Times New Roman" w:hAnsi="Times New Roman"/>
                <w:color w:val="FFFFFF"/>
                <w:sz w:val="22"/>
              </w:rPr>
              <w:t>Phenotype Category</w:t>
            </w:r>
          </w:p>
        </w:tc>
        <w:tc>
          <w:tcPr>
            <w:tcW w:w="1728" w:type="dxa"/>
            <w:shd w:val="clear" w:color="auto" w:fill="2F5496"/>
          </w:tcPr>
          <w:p w14:paraId="2B87980C">
            <w:pPr>
              <w:spacing w:after="0" w:line="240" w:lineRule="auto"/>
            </w:pPr>
            <w:r>
              <w:rPr>
                <w:rFonts w:ascii="Times New Roman" w:hAnsi="Times New Roman"/>
                <w:color w:val="FFFFFF"/>
                <w:sz w:val="22"/>
              </w:rPr>
              <w:t>Level of Evidence</w:t>
            </w:r>
          </w:p>
        </w:tc>
      </w:tr>
      <w:tr w14:paraId="7B22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1D21EF">
            <w:pPr>
              <w:spacing w:after="0" w:line="240" w:lineRule="auto"/>
            </w:pPr>
            <w:r>
              <w:rPr>
                <w:rFonts w:ascii="Times New Roman" w:hAnsi="Times New Roman"/>
                <w:sz w:val="22"/>
              </w:rPr>
              <w:t xml:space="preserve">CLCN6;MTHFR</w:t>
            </w:r>
          </w:p>
        </w:tc>
        <w:tc>
          <w:tcPr>
            <w:tcW w:w="1728" w:type="dxa"/>
          </w:tcPr>
          <w:p w14:paraId="634E60F8">
            <w:pPr>
              <w:spacing w:after="0" w:line="240" w:lineRule="auto"/>
            </w:pPr>
            <w:r>
              <w:rPr>
                <w:rFonts w:ascii="Times New Roman" w:hAnsi="Times New Roman"/>
                <w:sz w:val="22"/>
              </w:rPr>
              <w:t xml:space="preserve">rs1801133</w:t>
            </w:r>
          </w:p>
        </w:tc>
        <w:tc>
          <w:tcPr>
            <w:tcW w:w="1728" w:type="dxa"/>
          </w:tcPr>
          <w:p w14:paraId="6D05F2FE">
            <w:pPr>
              <w:spacing w:after="0" w:line="240" w:lineRule="auto"/>
            </w:pPr>
            <w:r>
              <w:rPr>
                <w:rFonts w:ascii="Times New Roman" w:hAnsi="Times New Roman"/>
                <w:sz w:val="22"/>
              </w:rPr>
              <w:t xml:space="preserve">AG</w:t>
            </w:r>
          </w:p>
        </w:tc>
        <w:tc>
          <w:tcPr>
            <w:tcW w:w="1728" w:type="dxa"/>
          </w:tcPr>
          <w:p w14:paraId="38CA6CD4">
            <w:pPr>
              <w:spacing w:after="0" w:line="240" w:lineRule="auto"/>
            </w:pPr>
            <w:r>
              <w:rPr>
                <w:rFonts w:ascii="Times New Roman" w:hAnsi="Times New Roman"/>
                <w:sz w:val="22"/>
              </w:rPr>
              <w:t xml:space="preserve">Toxicity</w:t>
            </w:r>
          </w:p>
        </w:tc>
        <w:tc>
          <w:tcPr>
            <w:tcW w:w="1728" w:type="dxa"/>
          </w:tcPr>
          <w:p w14:paraId="743AACC0">
            <w:pPr>
              <w:spacing w:after="0" w:line="240" w:lineRule="auto"/>
            </w:pPr>
            <w:r>
              <w:rPr>
                <w:rFonts w:ascii="Times New Roman" w:hAnsi="Times New Roman"/>
                <w:sz w:val="22"/>
              </w:rPr>
              <w:t xml:space="preserve">3</w:t>
            </w:r>
          </w:p>
        </w:tc>
      </w:tr>
    </w:tbl>
    <w:p w14:paraId="63B26187">
      <w:r>
        <w:rPr>
          <w:rFonts w:ascii="Times New Roman" w:hAnsi="Times New Roman"/>
          <w:b/>
          <w:color w:val="000000"/>
          <w:sz w:val="18"/>
        </w:rPr>
        <w:t>* Level of Evidence：1A：Highest reliability；1B: Strong evidence；2A: Moderate reliability with enhanced pharmacogenetic focus ; 2B: Moderate evidence; 3: Emerging evidence; 4: Minimal to no evidence.</w:t>
      </w:r>
    </w:p>
    <w:p w14:paraId="0D5328BF">
      <w:pPr>
        <w:pStyle w:val="4"/>
        <w:jc w:val="left"/>
        <w:rPr>
          <w:rFonts w:ascii="Times New Roman" w:hAnsi="Times New Roman"/>
          <w:b/>
          <w:color w:val="000000"/>
          <w:sz w:val="28"/>
        </w:rPr>
      </w:pPr>
    </w:p>
    <w:p w14:paraId="6DCCAE92">
      <w:pPr>
        <w:pStyle w:val="4"/>
        <w:jc w:val="left"/>
      </w:pPr>
      <w:r>
        <w:rPr>
          <w:rFonts w:ascii="Times New Roman" w:hAnsi="Times New Roman"/>
          <w:b/>
          <w:color w:val="000000"/>
          <w:sz w:val="28"/>
        </w:rPr>
        <w:t>How to use the test results</w:t>
      </w:r>
    </w:p>
    <w:p w14:paraId="4A8C25FB">
      <w:pPr>
        <w:pStyle w:val="4"/>
        <w:jc w:val="left"/>
      </w:pPr>
      <w:r>
        <w:rPr>
          <w:rFonts w:ascii="Times New Roman" w:hAnsi="Times New Roman"/>
          <w:b/>
          <w:color w:val="000000"/>
          <w:sz w:val="24"/>
        </w:rPr>
        <w:t>Notification</w:t>
      </w:r>
    </w:p>
    <w:p w14:paraId="1420DBF4">
      <w:r>
        <w:rPr>
          <w:rFonts w:ascii="Times New Roman" w:hAnsi="Times New Roman"/>
          <w:sz w:val="22"/>
        </w:rPr>
        <w:t>The test does not yet have the qualifications for clinical diagnosis. The test results and medication recommendations provided are for reference only and cannot be directly used as the basis for clinical medication. If you have relevant medication needs, you can consult authoritative clinicians or professionals based on the results of this genetic test to obtain professional medication recommendations or follow the doctor's advice for clinically qualified inspection and test.</w:t>
      </w:r>
    </w:p>
    <w:p w14:paraId="64535D15">
      <w:pPr>
        <w:pStyle w:val="4"/>
        <w:jc w:val="left"/>
      </w:pPr>
      <w:r>
        <w:rPr>
          <w:rFonts w:ascii="Times New Roman" w:hAnsi="Times New Roman"/>
          <w:b/>
          <w:color w:val="000000"/>
          <w:sz w:val="24"/>
        </w:rPr>
        <w:t>Test content</w:t>
      </w:r>
    </w:p>
    <w:p w14:paraId="00C5FE89">
      <w:pPr>
        <w:rPr>
          <w:rFonts w:ascii="Times New Roman" w:hAnsi="Times New Roman"/>
          <w:sz w:val="22"/>
        </w:rPr>
      </w:pPr>
      <w:r>
        <w:rPr>
          <w:rFonts w:ascii="Times New Roman" w:hAnsi="Times New Roman"/>
          <w:sz w:val="22"/>
        </w:rPr>
        <w:t>Different genetic test versions and data sources may have different coverage of the above variants.</w:t>
      </w:r>
    </w:p>
    <w:p w14:paraId="73827B66">
      <w:pPr>
        <w:pStyle w:val="4"/>
        <w:jc w:val="left"/>
      </w:pPr>
      <w:r>
        <w:rPr>
          <w:rFonts w:ascii="Times New Roman" w:hAnsi="Times New Roman"/>
          <w:b/>
          <w:color w:val="000000"/>
          <w:sz w:val="24"/>
        </w:rPr>
        <w:t>Limit of detection</w:t>
      </w:r>
    </w:p>
    <w:p w14:paraId="444E6CA2">
      <w:r>
        <w:rPr>
          <w:rFonts w:ascii="Times New Roman" w:hAnsi="Times New Roman"/>
          <w:sz w:val="22"/>
        </w:rPr>
        <w:t>Test results are limited by the current technology and the level of scientific cognition. Depends on product package purchased, the test report may not cover all genes or loci related in each drug response. The accuracy of existing scientific research and the inherent detection error rate associated with the type of detection you purchase may also affect the accuracy of the interpretation of the item.</w:t>
      </w:r>
    </w:p>
    <w:p w14:paraId="76AB898E">
      <w:pPr>
        <w:rPr>
          <w:rFonts w:ascii="Times New Roman" w:hAnsi="Times New Roman"/>
          <w:sz w:val="22"/>
        </w:rPr>
      </w:pPr>
      <w:bookmarkStart w:id="1" w:name="_GoBack"/>
      <w:bookmarkEnd w:id="1"/>
    </w:p>
    <w:p w14:paraId="15AEC78B">
      <w:pPr>
        <w:rPr>
          <w:rFonts w:ascii="Times New Roman" w:hAnsi="Times New Roman"/>
          <w:sz w:val="22"/>
        </w:rPr>
      </w:pPr>
    </w:p>
    <w:p w14:paraId="115E6E25">
      <w:pPr>
        <w:rPr>
          <w:rFonts w:ascii="Times New Roman" w:hAnsi="Times New Roman"/>
          <w:sz w:val="22"/>
        </w:rPr>
      </w:pPr>
    </w:p>
    <w:p>
      <w:r>
        <w:br w:type="page"/>
      </w:r>
    </w:p>
    <w:p w14:paraId="67AD0B95">
      <w:r>
        <w:rPr>
          <w:sz w:val="22"/>
        </w:rPr>
        <mc:AlternateContent>
          <mc:Choice Requires="wps">
            <w:drawing>
              <wp:anchor distT="0" distB="0" distL="114300" distR="114300" simplePos="0" relativeHeight="251659264" behindDoc="0" locked="0" layoutInCell="1" allowOverlap="1">
                <wp:simplePos x="0" y="0"/>
                <wp:positionH relativeFrom="column">
                  <wp:posOffset>1701165</wp:posOffset>
                </wp:positionH>
                <wp:positionV relativeFrom="paragraph">
                  <wp:posOffset>130175</wp:posOffset>
                </wp:positionV>
                <wp:extent cx="2048510" cy="365760"/>
                <wp:effectExtent l="33655" t="10795" r="51435" b="61595"/>
                <wp:wrapNone/>
                <wp:docPr id="3" name="圆角矩形 6"/>
                <wp:cNvGraphicFramePr/>
                <a:graphic xmlns:a="http://schemas.openxmlformats.org/drawingml/2006/main">
                  <a:graphicData uri="http://schemas.microsoft.com/office/word/2010/wordprocessingShape">
                    <wps:wsp>
                      <wps:cNvSpPr/>
                      <wps:spPr>
                        <a:xfrm>
                          <a:off x="0" y="0"/>
                          <a:ext cx="2048510" cy="365760"/>
                        </a:xfrm>
                        <a:prstGeom prst="roundRect">
                          <a:avLst/>
                        </a:prstGeom>
                      </wps:spPr>
                      <wps:style>
                        <a:lnRef idx="0">
                          <a:srgbClr val="FFFFFF"/>
                        </a:lnRef>
                        <a:fillRef idx="1">
                          <a:schemeClr val="accent1"/>
                        </a:fillRef>
                        <a:effectRef idx="2">
                          <a:schemeClr val="accent1"/>
                        </a:effectRef>
                        <a:fontRef idx="minor">
                          <a:schemeClr val="lt1"/>
                        </a:fontRef>
                      </wps:style>
                      <wps:txb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Depression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95pt;margin-top:10.25pt;height:28.8pt;width:161.3pt;z-index:251659264;v-text-anchor:middle;mso-width-relative:page;mso-height-relative:page;" fillcolor="#4F81BD [3204]" filled="t" stroked="f" coordsize="21600,21600" arcsize="0.166666666666667" o:gfxdata="UEsDBAoAAAAAAIdO4kAAAAAAAAAAAAAAAAAEAAAAZHJzL1BLAwQUAAAACACHTuJAosOiMNcAAAAJ&#10;AQAADwAAAGRycy9kb3ducmV2LnhtbE2PTWvDMAyG74P9B6PBLmN1UmjSZnFKGIxedtjSwa5urMUh&#10;sRxi9+vfTz1tt1fo4dWjcntxozjhHHpPCtJFAgKp9aanTsHX/u15DSJETUaPnlDBFQNsq/u7UhfG&#10;n+kTT03sBJdQKLQCG+NUSBlai06HhZ+QePfjZ6cjj3MnzazPXO5GuUySTDrdE1+wesJXi+3QHJ2C&#10;HT7ZLs/qmr7fZfMhh3oY8lqpx4c0eQER8RL/YLjpszpU7HTwRzJBjAqWWb5hlEOyAsHAanMLBwX5&#10;OgVZlfL/B9UvUEsDBBQAAAAIAIdO4kAHxEOrmwIAACEFAAAOAAAAZHJzL2Uyb0RvYy54bWytVMFu&#10;EzEQvSPxD5bvdJM0SUvUTRUaBSFVtGpAPTteb9aS7TG2N5vyAXwAZyQkLoiP4HMq+AzG3k0bWg49&#10;kMNmxjN+fvM845PTrVZkI5yXYHLaP+hRIgyHQpp1Tt+/W7w4psQHZgqmwIic3ghPT6fPn500diIG&#10;UIEqhCMIYvyksTmtQrCTLPO8Epr5A7DCYLAEp1lA162zwrEG0bXKBr3eOGvAFdYBF97j6rwN0g7R&#10;PQUQylJyMQdea2FCi+qEYgFL8pW0nk4T27IUPFyUpReBqJxipSF98RC0V/GbTU/YZO2YrSTvKLCn&#10;UHhQk2bS4KF3UHMWGKmdfASlJXfgoQwHHHTWFpIUwSr6vQfaLCtmRaoFpfb2TnT//2D5282lI7LI&#10;6ZgSwzRe+O2XT7+/f/719cftz29kHBVqrJ9g4tJeus7zaMZyt6XT8R8LIduk6s2dqmIbCMfFQW94&#10;POqj4Bxjh+PR0TjJnt3vts6H1wI0iUZOHdSmuMKrS4qyzbkPeCzm7/LiiR6ULBZSqeS49epMObJh&#10;eM3DxXH/1Tzyxi1/pSmDi2wiUl8gamJeB+GWVdGQlardFUMlhj38UVLISGZw2DnYNKMUwZCDcC1D&#10;le4n1vuIQ0RAjLjOlK1Yy+xwFBc7Yi3lRBJ2HJK3Ry+LyrdaRytsV1vcHc0VFDd4cUgkqe4tX0gU&#10;75z5cMkctjCyxCEPF/gpFTQ5hc6ipAL38V/rMR87C6OUNDgSOfUfauYEJeqNwZ572R8OETYkZzg6&#10;GkQl9iOr/Yip9RngdfTxObE8mTE/qJ1ZOtDX+BbM4qkYYobj2Tnlwe2cs9COKr4mXMxmKQ3nxrJw&#10;bpaWR/AosYFZHaCUqU3u1UE1o4OTk3TtpjyO5r6fsu5ft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sOiMNcAAAAJAQAADwAAAAAAAAABACAAAAAiAAAAZHJzL2Rvd25yZXYueG1sUEsBAhQAFAAA&#10;AAgAh07iQAfEQ6ubAgAAIQUAAA4AAAAAAAAAAQAgAAAAJgEAAGRycy9lMm9Eb2MueG1sUEsFBgAA&#10;AAAGAAYAWQEAADMGAAAAAA==&#10;">
                <v:fill on="t" focussize="0,0"/>
                <v:stroke on="f"/>
                <v:imagedata o:title=""/>
                <o:lock v:ext="edit" aspectratio="f"/>
                <v:shadow on="t" color="#000000" opacity="22937f" offset="0pt,1.81102362204724pt" origin="0f,32768f" matrix="65536f,0f,0f,65536f"/>
                <v:textbo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Depression</w:t>
                      </w:r>
                    </w:p>
                  </w:txbxContent>
                </v:textbox>
              </v:roundrect>
            </w:pict>
          </mc:Fallback>
        </mc:AlternateContent>
      </w:r>
    </w:p>
    <w:p w14:paraId="1CC22AB1">
      <w:pPr>
        <w:rPr>
          <w:rFonts w:ascii="Times New Roman" w:hAnsi="Times New Roman"/>
          <w:sz w:val="22"/>
        </w:rPr>
      </w:pPr>
    </w:p>
    <w:p w14:paraId="43B75D7E">
      <w:pPr>
        <w:rPr>
          <w:rFonts w:ascii="Times New Roman" w:hAnsi="Times New Roman"/>
          <w:sz w:val="22"/>
        </w:rPr>
      </w:pPr>
    </w:p>
    <w:p w14:paraId="183D9A66">
      <w:r>
        <w:rPr>
          <w:rFonts w:ascii="Times New Roman" w:hAnsi="Times New Roman"/>
          <w:sz w:val="22"/>
        </w:rPr>
        <w:t xml:space="preserve">Description：A person having a major depressive episode usually exhibits a low mood, which pervades all aspects of life, and an inability to experience pleasure in previously enjoyable activities. Depressed people may be preoccupied with or ruminate over thoughts and feelings of worthlessness, inappropriate guilt or regret, helplessness or hopelessness. Other symptoms of depression include poor concentration and memory, withdrawal from social situations and activities, reduced sex drive, irritability, and thoughts of death or suicide. Insomnia is common; in the typical pattern, a person wakes very early and cannot get back to sleep. Hypersomnia, or oversleeping, can also happen, as well as day-night rhythm disturbances, such as diurnal mood variation.</w:t>
      </w:r>
    </w:p>
    <w:p w14:paraId="106E6481">
      <w:pPr>
        <w:rPr>
          <w:color w:val="0000FF"/>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Drug:</w:t>
      </w:r>
      <w:r>
        <w:rPr>
          <w:rFonts w:ascii="Times New Roman" w:hAnsi="Times New Roman"/>
          <w:b/>
          <w:color w:val="0000FF"/>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1. Clomipramine, 2. Nefazodone, 3. Paroxetine, 4. Venlafaxine</w:t>
      </w:r>
    </w:p>
    <w:p w14:paraId="0A950ECF">
      <w:r>
        <w:rPr>
          <w:rFonts w:ascii="Times New Roman" w:hAnsi="Times New Roman"/>
          <w:sz w:val="22"/>
        </w:rPr>
        <w:t xml:space="preserve">Description：Clomipramine is a tricyclic antidepressant used in the treatment of obsessive-compulsive disorder and disorders with an obsessive-compulsive component, such as depression, schizophrenia, and Tourette’s disorder.</w:t>
      </w:r>
    </w:p>
    <w:p w14:paraId="7E6D9CE0">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p>
    <w:p w14:paraId="4350E8F7">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Genetic Guidance for </w:t>
      </w:r>
      <w:r>
        <w:rPr>
          <w:rFonts w:ascii="Times New Roman" w:hAnsi="Times New Roman"/>
          <w:b/>
          <w:sz w:val="22"/>
        </w:rPr>
        <w:t>1. Clomipramine, 2. Nefazodone, 3. Paroxetine, 4. Venlafaxine</w:t>
      </w:r>
      <w:r>
        <w:br/>
      </w:r>
      <w:r>
        <w:rPr>
          <w:rFonts w:ascii="Times New Roman" w:hAnsi="Times New Roman"/>
          <w:b/>
          <w:color w:val="FF0000"/>
          <w:sz w:val="22"/>
        </w:rPr>
        <w:t>🚫 Consider alternative</w:t>
      </w:r>
    </w:p>
    <w:p w14:paraId="1A1D54A6">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r>
        <w:rPr>
          <w:rFonts w:ascii="Times New Roman" w:hAnsi="Times New Roman"/>
          <w:b/>
          <w:sz w:val="22"/>
        </w:rPr>
        <w:br w:type="textWrapping"/>
      </w:r>
    </w:p>
    <w:p w14:paraId="55F0998B">
      <w:pPr>
        <w:rPr>
          <w:rFonts w:ascii="Times New Roman" w:hAnsi="Times New Roman"/>
          <w:sz w:val="22"/>
        </w:rPr>
      </w:pPr>
      <w:r>
        <w:rPr>
          <w:rFonts w:ascii="Times New Roman" w:hAnsi="Times New Roman"/>
          <w:sz w:val="22"/>
        </w:rPr>
        <w:t xml:space="preserve">We have analyzed the</w:t>
      </w:r>
      <w:r>
        <w:rPr>
          <w:rFonts w:ascii="Times New Roman" w:hAnsi="Times New Roman"/>
          <w:color w:val="0070C0"/>
          <w:sz w:val="22"/>
        </w:rPr>
        <w:t xml:space="preserve"> rs1360780 </w:t>
      </w:r>
      <w:r>
        <w:rPr>
          <w:rFonts w:ascii="Times New Roman" w:hAnsi="Times New Roman"/>
          <w:sz w:val="22"/>
        </w:rPr>
        <w:t xml:space="preserve">locus of your</w:t>
      </w:r>
      <w:r>
        <w:rPr>
          <w:rFonts w:ascii="Times New Roman" w:hAnsi="Times New Roman"/>
          <w:color w:val="0070C0"/>
          <w:sz w:val="22"/>
        </w:rPr>
        <w:t xml:space="preserve"> FKBP5</w:t>
      </w:r>
      <w:r>
        <w:rPr>
          <w:rFonts w:ascii="Times New Roman" w:hAnsi="Times New Roman"/>
          <w:sz w:val="22"/>
        </w:rPr>
        <w:t xml:space="preserve"> gene. Your genotype is determined to be</w:t>
      </w:r>
      <w:r>
        <w:rPr>
          <w:rFonts w:ascii="Times New Roman" w:hAnsi="Times New Roman"/>
          <w:color w:val="0070C0"/>
          <w:sz w:val="22"/>
        </w:rPr>
        <w:t xml:space="preserve"> CT. </w:t>
      </w:r>
      <w:r>
        <w:rPr>
          <w:rFonts w:ascii="Times New Roman" w:hAnsi="Times New Roman"/>
          <w:sz w:val="22"/>
        </w:rPr>
        <w:t xml:space="preserve">Patients with the CT genotype and depression who are treated with paroxetine, venlafaxine, clomipramine or nefazodone may have an increased risk of suicidal ideation as compared to patients with the CC genotype. Other genetic and clinical factors may also influence a patient's response to paroxetine, venlafaxine, clomipramine or nefazodone..</w:t>
      </w:r>
    </w:p>
    <w:p w14:paraId="13629AE2">
      <w:pPr>
        <w:rPr>
          <w:rFonts w:ascii="Times New Roman" w:hAnsi="Times New Roman"/>
          <w:sz w:val="22"/>
        </w:rPr>
      </w:pPr>
    </w:p>
    <w:p w14:paraId="783C3527">
      <w:pPr>
        <w:pStyle w:val="4"/>
        <w:jc w:val="cente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My Genetic Result Details</w:t>
      </w:r>
    </w:p>
    <w:p w14:paraId="25F72D2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2028"/>
        <w:gridCol w:w="1806"/>
        <w:gridCol w:w="2088"/>
        <w:gridCol w:w="1986"/>
      </w:tblGrid>
      <w:tr w14:paraId="25D7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2F5496"/>
          </w:tcPr>
          <w:p w14:paraId="773B1D3C">
            <w:pPr>
              <w:spacing w:after="0" w:line="240" w:lineRule="auto"/>
            </w:pPr>
            <w:r>
              <w:rPr>
                <w:rFonts w:ascii="Times New Roman" w:hAnsi="Times New Roman"/>
                <w:color w:val="FFFFFF"/>
                <w:sz w:val="22"/>
              </w:rPr>
              <w:t>Gene</w:t>
            </w:r>
          </w:p>
        </w:tc>
        <w:tc>
          <w:tcPr>
            <w:tcW w:w="1728" w:type="dxa"/>
            <w:shd w:val="clear" w:color="auto" w:fill="2F5496"/>
          </w:tcPr>
          <w:p w14:paraId="7692F446">
            <w:pPr>
              <w:spacing w:after="0" w:line="240" w:lineRule="auto"/>
            </w:pPr>
            <w:r>
              <w:rPr>
                <w:rFonts w:ascii="Times New Roman" w:hAnsi="Times New Roman"/>
                <w:color w:val="FFFFFF"/>
                <w:sz w:val="22"/>
              </w:rPr>
              <w:t>Variant</w:t>
            </w:r>
          </w:p>
        </w:tc>
        <w:tc>
          <w:tcPr>
            <w:tcW w:w="1728" w:type="dxa"/>
            <w:shd w:val="clear" w:color="auto" w:fill="2F5496"/>
          </w:tcPr>
          <w:p w14:paraId="566D09AF">
            <w:pPr>
              <w:spacing w:after="0" w:line="240" w:lineRule="auto"/>
            </w:pPr>
            <w:r>
              <w:rPr>
                <w:rFonts w:ascii="Times New Roman" w:hAnsi="Times New Roman"/>
                <w:color w:val="FFFFFF"/>
                <w:sz w:val="22"/>
              </w:rPr>
              <w:t>Genotype</w:t>
            </w:r>
          </w:p>
        </w:tc>
        <w:tc>
          <w:tcPr>
            <w:tcW w:w="1728" w:type="dxa"/>
            <w:shd w:val="clear" w:color="auto" w:fill="2F5496"/>
          </w:tcPr>
          <w:p w14:paraId="5661BECC">
            <w:pPr>
              <w:spacing w:after="0" w:line="240" w:lineRule="auto"/>
            </w:pPr>
            <w:r>
              <w:rPr>
                <w:rFonts w:ascii="Times New Roman" w:hAnsi="Times New Roman"/>
                <w:color w:val="FFFFFF"/>
                <w:sz w:val="22"/>
              </w:rPr>
              <w:t>Phenotype Category</w:t>
            </w:r>
          </w:p>
        </w:tc>
        <w:tc>
          <w:tcPr>
            <w:tcW w:w="1728" w:type="dxa"/>
            <w:shd w:val="clear" w:color="auto" w:fill="2F5496"/>
          </w:tcPr>
          <w:p w14:paraId="2B87980C">
            <w:pPr>
              <w:spacing w:after="0" w:line="240" w:lineRule="auto"/>
            </w:pPr>
            <w:r>
              <w:rPr>
                <w:rFonts w:ascii="Times New Roman" w:hAnsi="Times New Roman"/>
                <w:color w:val="FFFFFF"/>
                <w:sz w:val="22"/>
              </w:rPr>
              <w:t>Level of Evidence</w:t>
            </w:r>
          </w:p>
        </w:tc>
      </w:tr>
      <w:tr w14:paraId="7B22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1D21EF">
            <w:pPr>
              <w:spacing w:after="0" w:line="240" w:lineRule="auto"/>
            </w:pPr>
            <w:r>
              <w:rPr>
                <w:rFonts w:ascii="Times New Roman" w:hAnsi="Times New Roman"/>
                <w:sz w:val="22"/>
              </w:rPr>
              <w:t xml:space="preserve">FKBP5</w:t>
            </w:r>
          </w:p>
        </w:tc>
        <w:tc>
          <w:tcPr>
            <w:tcW w:w="1728" w:type="dxa"/>
          </w:tcPr>
          <w:p w14:paraId="634E60F8">
            <w:pPr>
              <w:spacing w:after="0" w:line="240" w:lineRule="auto"/>
            </w:pPr>
            <w:r>
              <w:rPr>
                <w:rFonts w:ascii="Times New Roman" w:hAnsi="Times New Roman"/>
                <w:sz w:val="22"/>
              </w:rPr>
              <w:t xml:space="preserve">rs1360780</w:t>
            </w:r>
          </w:p>
        </w:tc>
        <w:tc>
          <w:tcPr>
            <w:tcW w:w="1728" w:type="dxa"/>
          </w:tcPr>
          <w:p w14:paraId="6D05F2FE">
            <w:pPr>
              <w:spacing w:after="0" w:line="240" w:lineRule="auto"/>
            </w:pPr>
            <w:r>
              <w:rPr>
                <w:rFonts w:ascii="Times New Roman" w:hAnsi="Times New Roman"/>
                <w:sz w:val="22"/>
              </w:rPr>
              <w:t xml:space="preserve">CT</w:t>
            </w:r>
          </w:p>
        </w:tc>
        <w:tc>
          <w:tcPr>
            <w:tcW w:w="1728" w:type="dxa"/>
          </w:tcPr>
          <w:p w14:paraId="38CA6CD4">
            <w:pPr>
              <w:spacing w:after="0" w:line="240" w:lineRule="auto"/>
            </w:pPr>
            <w:r>
              <w:rPr>
                <w:rFonts w:ascii="Times New Roman" w:hAnsi="Times New Roman"/>
                <w:sz w:val="22"/>
              </w:rPr>
              <w:t xml:space="preserve">Toxicity</w:t>
            </w:r>
          </w:p>
        </w:tc>
        <w:tc>
          <w:tcPr>
            <w:tcW w:w="1728" w:type="dxa"/>
          </w:tcPr>
          <w:p w14:paraId="743AACC0">
            <w:pPr>
              <w:spacing w:after="0" w:line="240" w:lineRule="auto"/>
            </w:pPr>
            <w:r>
              <w:rPr>
                <w:rFonts w:ascii="Times New Roman" w:hAnsi="Times New Roman"/>
                <w:sz w:val="22"/>
              </w:rPr>
              <w:t xml:space="preserve">3</w:t>
            </w:r>
          </w:p>
        </w:tc>
      </w:tr>
    </w:tbl>
    <w:p w14:paraId="63B26187">
      <w:r>
        <w:rPr>
          <w:rFonts w:ascii="Times New Roman" w:hAnsi="Times New Roman"/>
          <w:b/>
          <w:color w:val="000000"/>
          <w:sz w:val="18"/>
        </w:rPr>
        <w:t>* Level of Evidence：1A：Highest reliability；1B: Strong evidence；2A: Moderate reliability with enhanced pharmacogenetic focus ; 2B: Moderate evidence; 3: Emerging evidence; 4: Minimal to no evidence.</w:t>
      </w:r>
    </w:p>
    <w:p w14:paraId="0D5328BF">
      <w:pPr>
        <w:pStyle w:val="4"/>
        <w:jc w:val="left"/>
        <w:rPr>
          <w:rFonts w:ascii="Times New Roman" w:hAnsi="Times New Roman"/>
          <w:b/>
          <w:color w:val="000000"/>
          <w:sz w:val="28"/>
        </w:rPr>
      </w:pPr>
    </w:p>
    <w:p>
      <w:pPr>
        <w:jc w:val="center"/>
      </w:pPr>
      <w:r>
        <w:rPr>
          <w:rFonts w:ascii="Times New Roman" w:hAnsi="Times New Roman"/>
          <w:b/>
          <w:sz w:val="28"/>
        </w:rPr>
        <w:t>Detailed Drug Information: 1. Clomipramine, 2. Nefazodone, 3. Paroxetine, 4. Venlafaxine</w:t>
      </w:r>
    </w:p>
    <w:p>
      <w:r>
        <w:rPr>
          <w:rFonts w:ascii="Times New Roman" w:hAnsi="Times New Roman"/>
          <w:b/>
          <w:color w:val="000000"/>
          <w:sz w:val="24"/>
        </w:rPr>
        <w:t>Summary</w:t>
      </w:r>
    </w:p>
    <w:p>
      <w:pPr>
        <w:jc w:val="both"/>
      </w:pPr>
      <w:r>
        <w:rPr>
          <w:rFonts w:ascii="Times New Roman" w:hAnsi="Times New Roman"/>
          <w:sz w:val="22"/>
        </w:rPr>
        <w:t>Clomipramine is a tricyclic antidepressant used in the treatment of obsessive-compulsive disorder and disorders with an obsessive-compulsive component, such as depression, schizophrenia, and Tourette’s disorder.</w:t>
      </w:r>
    </w:p>
    <w:p>
      <w:r>
        <w:rPr>
          <w:rFonts w:ascii="Times New Roman" w:hAnsi="Times New Roman"/>
          <w:b/>
          <w:color w:val="000000"/>
          <w:sz w:val="24"/>
        </w:rPr>
        <w:t>Brand Names</w:t>
      </w:r>
    </w:p>
    <w:p>
      <w:pPr>
        <w:jc w:val="both"/>
      </w:pPr>
      <w:r>
        <w:rPr>
          <w:rFonts w:ascii="Times New Roman" w:hAnsi="Times New Roman"/>
          <w:sz w:val="22"/>
        </w:rPr>
        <w:t>Anafranil</w:t>
      </w:r>
    </w:p>
    <w:p>
      <w:r>
        <w:rPr>
          <w:rFonts w:ascii="Times New Roman" w:hAnsi="Times New Roman"/>
          <w:b/>
          <w:color w:val="000000"/>
          <w:sz w:val="24"/>
        </w:rPr>
        <w:t>Pharmacodynamics</w:t>
      </w:r>
    </w:p>
    <w:p>
      <w:pPr>
        <w:jc w:val="both"/>
      </w:pPr>
      <w:r>
        <w:rPr>
          <w:rFonts w:ascii="Times New Roman" w:hAnsi="Times New Roman"/>
          <w:sz w:val="22"/>
        </w:rPr>
        <w:t>Clomipramine, a tricyclic antidepressant, is the 3-chloro derivative of Imipramine. It was thought that tricyclic antidepressants work exclusively by inhibiting the re-uptake of the neurotransmitters norepinephrine and serotonin by nerve cells. However, this response occurs immediately, yet mood does not lift for around two weeks. It is now thought that changes occur in receptor sensitivity in the cerebral cortex and hippocampus. The hippocampus is part of the limbic system, a part of the brain involved in emotions. Presynaptic receptors are affected: α1 and β1 receptors are sensitized, α2 receptors are desensitized (leading to increased noradrenaline production). Tricyclics are also known as effective analgesics for different types of pain, especially neuropathic or neuralgic pain.</w:t>
      </w:r>
    </w:p>
    <w:p>
      <w:r>
        <w:rPr>
          <w:rFonts w:ascii="Times New Roman" w:hAnsi="Times New Roman"/>
          <w:b/>
          <w:color w:val="000000"/>
          <w:sz w:val="24"/>
        </w:rPr>
        <w:t>Absorption</w:t>
      </w:r>
    </w:p>
    <w:p>
      <w:pPr>
        <w:jc w:val="both"/>
      </w:pPr>
      <w:r>
        <w:rPr>
          <w:rFonts w:ascii="Times New Roman" w:hAnsi="Times New Roman"/>
          <w:sz w:val="22"/>
        </w:rPr>
        <w:t>Well absorbed from the GI tract following oral administration. Bioavailability is approximately 50% orally due to extensive first-pass metabolism. Bioavailability is not affected by food. Peak plasma concentrations occurred 2-6 hours following oral administration of a single 50 mg dose. The peak plasma concentration ranged from 56 ng/mL to 154 mg/mL (mean, 92 ng/mL). There are large interindividual variations in plasma concentrations occur, partly due to genetic differences in clomipramine metabolism. On average, steady state plasma concentrations are achieved in 1-2 weeks following multiple dose oral administration. Smoking appears to lower the steady-state plasma concentration of clomipramine, but not its active metabolite desmethylclomipramine.</w:t>
      </w:r>
    </w:p>
    <w:p>
      <w:r>
        <w:rPr>
          <w:rFonts w:ascii="Times New Roman" w:hAnsi="Times New Roman"/>
          <w:b/>
          <w:color w:val="000000"/>
          <w:sz w:val="24"/>
        </w:rPr>
        <w:t>Volume of distribution</w:t>
      </w:r>
    </w:p>
    <w:p>
      <w:pPr>
        <w:jc w:val="both"/>
      </w:pPr>
      <w:r>
        <w:rPr>
          <w:rFonts w:ascii="Times New Roman" w:hAnsi="Times New Roman"/>
          <w:sz w:val="22"/>
        </w:rPr>
        <w:t>~ 17 L/kg (range: 9-25 L/kg). Clomipramine is capable of distributing into the cerebrospinal fluid, the brain, and into breast milk.</w:t>
      </w:r>
    </w:p>
    <w:p>
      <w:r>
        <w:rPr>
          <w:rFonts w:ascii="Times New Roman" w:hAnsi="Times New Roman"/>
          <w:b/>
          <w:color w:val="000000"/>
          <w:sz w:val="24"/>
        </w:rPr>
        <w:t>Protein binding</w:t>
      </w:r>
    </w:p>
    <w:p>
      <w:pPr>
        <w:jc w:val="both"/>
      </w:pPr>
      <w:r>
        <w:rPr>
          <w:rFonts w:ascii="Times New Roman" w:hAnsi="Times New Roman"/>
          <w:sz w:val="22"/>
        </w:rPr>
        <w:t>Clomipramine is approximately 97-98% bound to plasma proteins, principally to albumin and possibly to α1-acid glycoprotein. Desmethylclomipramine is 97-99% bound to plasma proteins.</w:t>
      </w:r>
    </w:p>
    <w:p>
      <w:r>
        <w:rPr>
          <w:rFonts w:ascii="Times New Roman" w:hAnsi="Times New Roman"/>
          <w:b/>
          <w:color w:val="000000"/>
          <w:sz w:val="24"/>
        </w:rPr>
        <w:t>Metabolism</w:t>
      </w:r>
    </w:p>
    <w:p>
      <w:pPr>
        <w:jc w:val="both"/>
      </w:pPr>
      <w:r>
        <w:rPr>
          <w:rFonts w:ascii="Times New Roman" w:hAnsi="Times New Roman"/>
          <w:sz w:val="22"/>
        </w:rPr>
        <w:t>Extensively metabolized in the liver. The main active metabolite is desmethylclomipramine, which is formed by N-demethylation of clomipramine via CYP2C19, 3A4 and 1A2. Other metabolites and their glucuronide conjugates are also produced. Other metabolites of clomipramine include 8-hydroxyclomipramine formed via 8-hydroxylation, 2-hydroxyclomipramine formed via 2-hydroxylation, and clomipramine N-oxide formed by N-oxidation. Desmethylclomipramine is further metabolized to 8-hydroxydesmethylclomipramine and didesmethylclomipramine, which are formed by 8-hydroxylation and N-demethylation, respectively. 8-Hydroxyclomipramine and 8-hydroxydesmethylclomipramine are pharmacologically active; however, their clinical relevance remains unknown. Hover over products below to view reaction partners Clomipramine Desmethylclomipramine didesmethylclomipramine 2-hydroxyclomipramine 2-hydroxyclomipramine glucuronide 2-hydroxydesmethyl clomipramine 2-hydroxydesmethyl clomipramine glucuronide 8-hydroxyclomipramine 8-hydroxydesmethyl clomipramine 8-hyroxydesmethyl clomipramine glucuronide 8-hydroxyclomipramine glucuronide clomipramine N-oxide 8-OH-clomipramine 10-OH-clomipramine</w:t>
      </w:r>
    </w:p>
    <w:p>
      <w:r>
        <w:rPr>
          <w:rFonts w:ascii="Times New Roman" w:hAnsi="Times New Roman"/>
          <w:b/>
          <w:color w:val="000000"/>
          <w:sz w:val="24"/>
        </w:rPr>
        <w:t>Route of elimination</w:t>
      </w:r>
    </w:p>
    <w:p>
      <w:pPr>
        <w:jc w:val="both"/>
      </w:pPr>
      <w:r>
        <w:rPr>
          <w:rFonts w:ascii="Times New Roman" w:hAnsi="Times New Roman"/>
          <w:sz w:val="22"/>
        </w:rPr>
        <w:t>Urine (51-60%) and feces via biliary elimination (24-32%)</w:t>
      </w:r>
    </w:p>
    <w:p>
      <w:r>
        <w:rPr>
          <w:rFonts w:ascii="Times New Roman" w:hAnsi="Times New Roman"/>
          <w:b/>
          <w:color w:val="000000"/>
          <w:sz w:val="24"/>
        </w:rPr>
        <w:t>Half-life</w:t>
      </w:r>
    </w:p>
    <w:p>
      <w:pPr>
        <w:jc w:val="both"/>
      </w:pPr>
      <w:r>
        <w:rPr>
          <w:rFonts w:ascii="Times New Roman" w:hAnsi="Times New Roman"/>
          <w:sz w:val="22"/>
        </w:rPr>
        <w:t>Following oral administration of a single 150 mg dose of clomipramine, the average elimination half-life of clomipramine was 32 hours (range: 19-37 hours) and of desmethylclomipramine was 69 hours (range: 54-77 hours). Elimination half-life may vary substantially with different doses due to saturable kinetics (i.e. metabolism).</w:t>
      </w:r>
    </w:p>
    <w:p>
      <w:r>
        <w:rPr>
          <w:rFonts w:ascii="Times New Roman" w:hAnsi="Times New Roman"/>
          <w:b/>
          <w:color w:val="000000"/>
          <w:sz w:val="24"/>
        </w:rPr>
        <w:t>Clearance</w:t>
      </w:r>
    </w:p>
    <w:p>
      <w:pPr>
        <w:jc w:val="both"/>
      </w:pPr>
      <w:r>
        <w:rPr>
          <w:rFonts w:ascii="Times New Roman" w:hAnsi="Times New Roman"/>
          <w:sz w:val="22"/>
        </w:rPr>
        <w:t>Not Available</w:t>
      </w:r>
    </w:p>
    <w:p>
      <w:r>
        <w:rPr>
          <w:rFonts w:ascii="Times New Roman" w:hAnsi="Times New Roman"/>
          <w:b/>
          <w:color w:val="000000"/>
          <w:sz w:val="24"/>
        </w:rPr>
        <w:t>Toxicity</w:t>
      </w:r>
    </w:p>
    <w:p>
      <w:pPr>
        <w:jc w:val="both"/>
      </w:pPr>
      <w:r>
        <w:rPr>
          <w:rFonts w:ascii="Times New Roman" w:hAnsi="Times New Roman"/>
          <w:sz w:val="22"/>
        </w:rPr>
        <w:t>Signs and symptoms vary in severity depending upon factors such as the amount of drug absorbed, the age of the patient, and the time elapsed since drug ingestion. Critical manifestations of overdose include cardiac dysrhythmias, severe hypotension, convulsions, and CNS depression including coma. Changes in the electrocardiogram, particularly in QRS axis or width, are clinically significant indicators of tricyclic toxicity. In U.S. clinical trials, 2 deaths occurred in 12 reported cases of acute overdosage with Anafranil either alone or in combination with other drugs. One death involved a patient suspected of ingesting a dose of 7000 mg. The second death involved a patient suspected of ingesting a dose of 5750 mg. Side effects include: sedation, hypotension, blurred vision, dry mouth, constipation, urinary retention, postural hypotension, tachycardia, hypertension, ECG changes, heart failure, impaired memory and delirium, and precipitation of hypomanic or manic episodes in bipolar depression. Withdrawal symptoms include gastrointestinal disturbances, anxiety, and insomnia.</w:t>
      </w:r>
    </w:p>
    <w:p/>
    <w:p>
      <w:r>
        <w:rPr>
          <w:rFonts w:ascii="Times New Roman" w:hAnsi="Times New Roman"/>
          <w:b/>
          <w:color w:val="000000"/>
          <w:sz w:val="24"/>
        </w:rPr>
        <w:t>General References</w:t>
      </w:r>
    </w:p>
    <w:p w14:paraId="6DCCAE92">
      <w:pPr>
        <w:pStyle w:val="4"/>
        <w:jc w:val="left"/>
      </w:pPr>
      <w:r>
        <w:rPr>
          <w:rFonts w:ascii="Times New Roman" w:hAnsi="Times New Roman"/>
          <w:b/>
          <w:color w:val="000000"/>
          <w:sz w:val="28"/>
        </w:rPr>
        <w:t>How to use the test results</w:t>
      </w:r>
    </w:p>
    <w:p w14:paraId="4A8C25FB">
      <w:pPr>
        <w:pStyle w:val="4"/>
        <w:jc w:val="left"/>
      </w:pPr>
      <w:r>
        <w:rPr>
          <w:rFonts w:ascii="Times New Roman" w:hAnsi="Times New Roman"/>
          <w:b/>
          <w:color w:val="000000"/>
          <w:sz w:val="24"/>
        </w:rPr>
        <w:t>Notification</w:t>
      </w:r>
    </w:p>
    <w:p w14:paraId="1420DBF4">
      <w:r>
        <w:rPr>
          <w:rFonts w:ascii="Times New Roman" w:hAnsi="Times New Roman"/>
          <w:sz w:val="22"/>
        </w:rPr>
        <w:t>The test does not yet have the qualifications for clinical diagnosis. The test results and medication recommendations provided are for reference only and cannot be directly used as the basis for clinical medication. If you have relevant medication needs, you can consult authoritative clinicians or professionals based on the results of this genetic test to obtain professional medication recommendations or follow the doctor's advice for clinically qualified inspection and test.</w:t>
      </w:r>
    </w:p>
    <w:p w14:paraId="64535D15">
      <w:pPr>
        <w:pStyle w:val="4"/>
        <w:jc w:val="left"/>
      </w:pPr>
      <w:r>
        <w:rPr>
          <w:rFonts w:ascii="Times New Roman" w:hAnsi="Times New Roman"/>
          <w:b/>
          <w:color w:val="000000"/>
          <w:sz w:val="24"/>
        </w:rPr>
        <w:t>Test content</w:t>
      </w:r>
    </w:p>
    <w:p w14:paraId="00C5FE89">
      <w:pPr>
        <w:rPr>
          <w:rFonts w:ascii="Times New Roman" w:hAnsi="Times New Roman"/>
          <w:sz w:val="22"/>
        </w:rPr>
      </w:pPr>
      <w:r>
        <w:rPr>
          <w:rFonts w:ascii="Times New Roman" w:hAnsi="Times New Roman"/>
          <w:sz w:val="22"/>
        </w:rPr>
        <w:t>Different genetic test versions and data sources may have different coverage of the above variants.</w:t>
      </w:r>
    </w:p>
    <w:p w14:paraId="73827B66">
      <w:pPr>
        <w:pStyle w:val="4"/>
        <w:jc w:val="left"/>
      </w:pPr>
      <w:r>
        <w:rPr>
          <w:rFonts w:ascii="Times New Roman" w:hAnsi="Times New Roman"/>
          <w:b/>
          <w:color w:val="000000"/>
          <w:sz w:val="24"/>
        </w:rPr>
        <w:t>Limit of detection</w:t>
      </w:r>
    </w:p>
    <w:p w14:paraId="444E6CA2">
      <w:r>
        <w:rPr>
          <w:rFonts w:ascii="Times New Roman" w:hAnsi="Times New Roman"/>
          <w:sz w:val="22"/>
        </w:rPr>
        <w:t>Test results are limited by the current technology and the level of scientific cognition. Depends on product package purchased, the test report may not cover all genes or loci related in each drug response. The accuracy of existing scientific research and the inherent detection error rate associated with the type of detection you purchase may also affect the accuracy of the interpretation of the item.</w:t>
      </w:r>
    </w:p>
    <w:p w14:paraId="76AB898E">
      <w:pPr>
        <w:rPr>
          <w:rFonts w:ascii="Times New Roman" w:hAnsi="Times New Roman"/>
          <w:sz w:val="22"/>
        </w:rPr>
      </w:pPr>
      <w:bookmarkStart w:id="2" w:name="_GoBack"/>
      <w:bookmarkEnd w:id="2"/>
    </w:p>
    <w:p w14:paraId="15AEC78B">
      <w:pPr>
        <w:rPr>
          <w:rFonts w:ascii="Times New Roman" w:hAnsi="Times New Roman"/>
          <w:sz w:val="22"/>
        </w:rPr>
      </w:pPr>
    </w:p>
    <w:p w14:paraId="115E6E25">
      <w:pPr>
        <w:rPr>
          <w:rFonts w:ascii="Times New Roman" w:hAnsi="Times New Roman"/>
          <w:sz w:val="22"/>
        </w:rPr>
      </w:pPr>
    </w:p>
    <w:p>
      <w:r>
        <w:br w:type="page"/>
      </w:r>
    </w:p>
    <w:p w14:paraId="67AD0B95">
      <w:r>
        <w:rPr>
          <w:sz w:val="22"/>
        </w:rPr>
        <mc:AlternateContent>
          <mc:Choice Requires="wps">
            <w:drawing>
              <wp:anchor distT="0" distB="0" distL="114300" distR="114300" simplePos="0" relativeHeight="251659264" behindDoc="0" locked="0" layoutInCell="1" allowOverlap="1">
                <wp:simplePos x="0" y="0"/>
                <wp:positionH relativeFrom="column">
                  <wp:posOffset>1701165</wp:posOffset>
                </wp:positionH>
                <wp:positionV relativeFrom="paragraph">
                  <wp:posOffset>130175</wp:posOffset>
                </wp:positionV>
                <wp:extent cx="2048510" cy="365760"/>
                <wp:effectExtent l="33655" t="10795" r="51435" b="61595"/>
                <wp:wrapNone/>
                <wp:docPr id="4" name="圆角矩形 6"/>
                <wp:cNvGraphicFramePr/>
                <a:graphic xmlns:a="http://schemas.openxmlformats.org/drawingml/2006/main">
                  <a:graphicData uri="http://schemas.microsoft.com/office/word/2010/wordprocessingShape">
                    <wps:wsp>
                      <wps:cNvSpPr/>
                      <wps:spPr>
                        <a:xfrm>
                          <a:off x="0" y="0"/>
                          <a:ext cx="2048510" cy="365760"/>
                        </a:xfrm>
                        <a:prstGeom prst="roundRect">
                          <a:avLst/>
                        </a:prstGeom>
                      </wps:spPr>
                      <wps:style>
                        <a:lnRef idx="0">
                          <a:srgbClr val="FFFFFF"/>
                        </a:lnRef>
                        <a:fillRef idx="1">
                          <a:schemeClr val="accent1"/>
                        </a:fillRef>
                        <a:effectRef idx="2">
                          <a:schemeClr val="accent1"/>
                        </a:effectRef>
                        <a:fontRef idx="minor">
                          <a:schemeClr val="lt1"/>
                        </a:fontRef>
                      </wps:style>
                      <wps:txb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Opioid-Related Disorders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95pt;margin-top:10.25pt;height:28.8pt;width:161.3pt;z-index:251659264;v-text-anchor:middle;mso-width-relative:page;mso-height-relative:page;" fillcolor="#4F81BD [3204]" filled="t" stroked="f" coordsize="21600,21600" arcsize="0.166666666666667" o:gfxdata="UEsDBAoAAAAAAIdO4kAAAAAAAAAAAAAAAAAEAAAAZHJzL1BLAwQUAAAACACHTuJAosOiMNcAAAAJ&#10;AQAADwAAAGRycy9kb3ducmV2LnhtbE2PTWvDMAyG74P9B6PBLmN1UmjSZnFKGIxedtjSwa5urMUh&#10;sRxi9+vfTz1tt1fo4dWjcntxozjhHHpPCtJFAgKp9aanTsHX/u15DSJETUaPnlDBFQNsq/u7UhfG&#10;n+kTT03sBJdQKLQCG+NUSBlai06HhZ+QePfjZ6cjj3MnzazPXO5GuUySTDrdE1+wesJXi+3QHJ2C&#10;HT7ZLs/qmr7fZfMhh3oY8lqpx4c0eQER8RL/YLjpszpU7HTwRzJBjAqWWb5hlEOyAsHAanMLBwX5&#10;OgVZlfL/B9UvUEsDBBQAAAAIAIdO4kAHxEOrmwIAACEFAAAOAAAAZHJzL2Uyb0RvYy54bWytVMFu&#10;EzEQvSPxD5bvdJM0SUvUTRUaBSFVtGpAPTteb9aS7TG2N5vyAXwAZyQkLoiP4HMq+AzG3k0bWg49&#10;kMNmxjN+fvM845PTrVZkI5yXYHLaP+hRIgyHQpp1Tt+/W7w4psQHZgqmwIic3ghPT6fPn500diIG&#10;UIEqhCMIYvyksTmtQrCTLPO8Epr5A7DCYLAEp1lA162zwrEG0bXKBr3eOGvAFdYBF97j6rwN0g7R&#10;PQUQylJyMQdea2FCi+qEYgFL8pW0nk4T27IUPFyUpReBqJxipSF98RC0V/GbTU/YZO2YrSTvKLCn&#10;UHhQk2bS4KF3UHMWGKmdfASlJXfgoQwHHHTWFpIUwSr6vQfaLCtmRaoFpfb2TnT//2D5282lI7LI&#10;6ZgSwzRe+O2XT7+/f/719cftz29kHBVqrJ9g4tJeus7zaMZyt6XT8R8LIduk6s2dqmIbCMfFQW94&#10;POqj4Bxjh+PR0TjJnt3vts6H1wI0iUZOHdSmuMKrS4qyzbkPeCzm7/LiiR6ULBZSqeS49epMObJh&#10;eM3DxXH/1Tzyxi1/pSmDi2wiUl8gamJeB+GWVdGQlardFUMlhj38UVLISGZw2DnYNKMUwZCDcC1D&#10;le4n1vuIQ0RAjLjOlK1Yy+xwFBc7Yi3lRBJ2HJK3Ry+LyrdaRytsV1vcHc0VFDd4cUgkqe4tX0gU&#10;75z5cMkctjCyxCEPF/gpFTQ5hc6ipAL38V/rMR87C6OUNDgSOfUfauYEJeqNwZ572R8OETYkZzg6&#10;GkQl9iOr/Yip9RngdfTxObE8mTE/qJ1ZOtDX+BbM4qkYYobj2Tnlwe2cs9COKr4mXMxmKQ3nxrJw&#10;bpaWR/AosYFZHaCUqU3u1UE1o4OTk3TtpjyO5r6fsu5ft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sOiMNcAAAAJAQAADwAAAAAAAAABACAAAAAiAAAAZHJzL2Rvd25yZXYueG1sUEsBAhQAFAAA&#10;AAgAh07iQAfEQ6ubAgAAIQUAAA4AAAAAAAAAAQAgAAAAJgEAAGRycy9lMm9Eb2MueG1sUEsFBgAA&#10;AAAGAAYAWQEAADMGAAAAAA==&#10;">
                <v:fill on="t" focussize="0,0"/>
                <v:stroke on="f"/>
                <v:imagedata o:title=""/>
                <o:lock v:ext="edit" aspectratio="f"/>
                <v:shadow on="t" color="#000000" opacity="22937f" offset="0pt,1.81102362204724pt" origin="0f,32768f" matrix="65536f,0f,0f,65536f"/>
                <v:textbo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Opioid-Related Disorders</w:t>
                      </w:r>
                    </w:p>
                  </w:txbxContent>
                </v:textbox>
              </v:roundrect>
            </w:pict>
          </mc:Fallback>
        </mc:AlternateContent>
      </w:r>
    </w:p>
    <w:p w14:paraId="1CC22AB1">
      <w:pPr>
        <w:rPr>
          <w:rFonts w:ascii="Times New Roman" w:hAnsi="Times New Roman"/>
          <w:sz w:val="22"/>
        </w:rPr>
      </w:pPr>
    </w:p>
    <w:p w14:paraId="43B75D7E">
      <w:pPr>
        <w:rPr>
          <w:rFonts w:ascii="Times New Roman" w:hAnsi="Times New Roman"/>
          <w:sz w:val="22"/>
        </w:rPr>
      </w:pPr>
    </w:p>
    <w:p w14:paraId="183D9A66">
      <w:r>
        <w:rPr>
          <w:rFonts w:ascii="Times New Roman" w:hAnsi="Times New Roman"/>
          <w:sz w:val="22"/>
        </w:rPr>
        <w:t xml:space="preserve">Description：Opioid use disorder (OUD) is a substance use disorder characterized by cravings for opioids, continued use despite physical and/or psychological deterioration, increased tolerance with use, and withdrawal symptoms after discontinuing opioids. Opioid withdrawal symptoms include nausea, muscle aches, diarrhea, trouble sleeping, agitation, and a low mood. Addiction and dependence are important components of opioid use disorder. Risk factors include a history of opioid misuse, current opioid misuse, young age, socioeconomic status, race, untreated psychiatric disorders, and environments that promote misuse (social, family, professional, etc. Complications may include opioid overdose, suicide, HIV/AIDS, hepatitis C, and problems meeting social or professional responsibilities.</w:t>
      </w:r>
    </w:p>
    <w:p w14:paraId="106E6481">
      <w:pPr>
        <w:rPr>
          <w:color w:val="0000FF"/>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Drug:</w:t>
      </w:r>
      <w:r>
        <w:rPr>
          <w:rFonts w:ascii="Times New Roman" w:hAnsi="Times New Roman"/>
          <w:b/>
          <w:color w:val="0000FF"/>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1. Methadone</w:t>
      </w:r>
    </w:p>
    <w:p w14:paraId="0A950ECF">
      <w:r>
        <w:rPr>
          <w:rFonts w:ascii="Times New Roman" w:hAnsi="Times New Roman"/>
          <w:sz w:val="22"/>
        </w:rPr>
        <w:t xml:space="preserve">Description：Methadone is an opioid analgesic indicated for management of severe pain that is not responsive to alternative treatments. Also used to aid in detoxification and maintenance treatment of opioid addiction.</w:t>
      </w:r>
    </w:p>
    <w:p w14:paraId="7E6D9CE0">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p>
    <w:p w14:paraId="4350E8F7">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Genetic Guidance for </w:t>
      </w:r>
      <w:r>
        <w:rPr>
          <w:rFonts w:ascii="Times New Roman" w:hAnsi="Times New Roman"/>
          <w:b/>
          <w:sz w:val="22"/>
        </w:rPr>
        <w:t>1. Methadone</w:t>
      </w:r>
      <w:r>
        <w:br/>
      </w:r>
      <w:r>
        <w:rPr>
          <w:rFonts w:ascii="Times New Roman" w:hAnsi="Times New Roman"/>
          <w:b/>
          <w:color w:val="FF0000"/>
          <w:sz w:val="22"/>
        </w:rPr>
        <w:t>⚠️ Use with caution</w:t>
      </w:r>
    </w:p>
    <w:p w14:paraId="1A1D54A6">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r>
        <w:rPr>
          <w:rFonts w:ascii="Times New Roman" w:hAnsi="Times New Roman"/>
          <w:b/>
          <w:sz w:val="22"/>
        </w:rPr>
        <w:br w:type="textWrapping"/>
      </w:r>
    </w:p>
    <w:p w14:paraId="55F0998B">
      <w:pPr>
        <w:rPr>
          <w:rFonts w:ascii="Times New Roman" w:hAnsi="Times New Roman"/>
          <w:sz w:val="22"/>
        </w:rPr>
      </w:pPr>
      <w:r>
        <w:rPr>
          <w:rFonts w:ascii="Times New Roman" w:hAnsi="Times New Roman"/>
          <w:sz w:val="22"/>
        </w:rPr>
        <w:t xml:space="preserve">We have analyzed the</w:t>
      </w:r>
      <w:r>
        <w:rPr>
          <w:rFonts w:ascii="Times New Roman" w:hAnsi="Times New Roman"/>
          <w:color w:val="0070C0"/>
          <w:sz w:val="22"/>
        </w:rPr>
        <w:t xml:space="preserve"> rs5443 </w:t>
      </w:r>
      <w:r>
        <w:rPr>
          <w:rFonts w:ascii="Times New Roman" w:hAnsi="Times New Roman"/>
          <w:sz w:val="22"/>
        </w:rPr>
        <w:t xml:space="preserve">locus of your</w:t>
      </w:r>
      <w:r>
        <w:rPr>
          <w:rFonts w:ascii="Times New Roman" w:hAnsi="Times New Roman"/>
          <w:color w:val="0070C0"/>
          <w:sz w:val="22"/>
        </w:rPr>
        <w:t xml:space="preserve"> GNB3</w:t>
      </w:r>
      <w:r>
        <w:rPr>
          <w:rFonts w:ascii="Times New Roman" w:hAnsi="Times New Roman"/>
          <w:sz w:val="22"/>
        </w:rPr>
        <w:t xml:space="preserve"> gene. Your genotype is determined to be</w:t>
      </w:r>
      <w:r>
        <w:rPr>
          <w:rFonts w:ascii="Times New Roman" w:hAnsi="Times New Roman"/>
          <w:color w:val="0070C0"/>
          <w:sz w:val="22"/>
        </w:rPr>
        <w:t xml:space="preserve"> TT. </w:t>
      </w:r>
      <w:r>
        <w:rPr>
          <w:rFonts w:ascii="Times New Roman" w:hAnsi="Times New Roman"/>
          <w:sz w:val="22"/>
        </w:rPr>
        <w:t xml:space="preserve">Patients with the TT genotype who are stopping methadone treatment may have more of an increase in pulse rate as compared to patients with the CC genotype. Other genetic and clinical factors may also influence increased pulse rate in patients stopping methadone treatment..</w:t>
      </w:r>
    </w:p>
    <w:p w14:paraId="13629AE2">
      <w:pPr>
        <w:rPr>
          <w:rFonts w:ascii="Times New Roman" w:hAnsi="Times New Roman"/>
          <w:sz w:val="22"/>
        </w:rPr>
      </w:pPr>
    </w:p>
    <w:p w14:paraId="783C3527">
      <w:pPr>
        <w:pStyle w:val="4"/>
        <w:jc w:val="cente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My Genetic Result Details</w:t>
      </w:r>
    </w:p>
    <w:p w14:paraId="25F72D2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2028"/>
        <w:gridCol w:w="1806"/>
        <w:gridCol w:w="2088"/>
        <w:gridCol w:w="1986"/>
      </w:tblGrid>
      <w:tr w14:paraId="25D7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2F5496"/>
          </w:tcPr>
          <w:p w14:paraId="773B1D3C">
            <w:pPr>
              <w:spacing w:after="0" w:line="240" w:lineRule="auto"/>
            </w:pPr>
            <w:r>
              <w:rPr>
                <w:rFonts w:ascii="Times New Roman" w:hAnsi="Times New Roman"/>
                <w:color w:val="FFFFFF"/>
                <w:sz w:val="22"/>
              </w:rPr>
              <w:t>Gene</w:t>
            </w:r>
          </w:p>
        </w:tc>
        <w:tc>
          <w:tcPr>
            <w:tcW w:w="1728" w:type="dxa"/>
            <w:shd w:val="clear" w:color="auto" w:fill="2F5496"/>
          </w:tcPr>
          <w:p w14:paraId="7692F446">
            <w:pPr>
              <w:spacing w:after="0" w:line="240" w:lineRule="auto"/>
            </w:pPr>
            <w:r>
              <w:rPr>
                <w:rFonts w:ascii="Times New Roman" w:hAnsi="Times New Roman"/>
                <w:color w:val="FFFFFF"/>
                <w:sz w:val="22"/>
              </w:rPr>
              <w:t>Variant</w:t>
            </w:r>
          </w:p>
        </w:tc>
        <w:tc>
          <w:tcPr>
            <w:tcW w:w="1728" w:type="dxa"/>
            <w:shd w:val="clear" w:color="auto" w:fill="2F5496"/>
          </w:tcPr>
          <w:p w14:paraId="566D09AF">
            <w:pPr>
              <w:spacing w:after="0" w:line="240" w:lineRule="auto"/>
            </w:pPr>
            <w:r>
              <w:rPr>
                <w:rFonts w:ascii="Times New Roman" w:hAnsi="Times New Roman"/>
                <w:color w:val="FFFFFF"/>
                <w:sz w:val="22"/>
              </w:rPr>
              <w:t>Genotype</w:t>
            </w:r>
          </w:p>
        </w:tc>
        <w:tc>
          <w:tcPr>
            <w:tcW w:w="1728" w:type="dxa"/>
            <w:shd w:val="clear" w:color="auto" w:fill="2F5496"/>
          </w:tcPr>
          <w:p w14:paraId="5661BECC">
            <w:pPr>
              <w:spacing w:after="0" w:line="240" w:lineRule="auto"/>
            </w:pPr>
            <w:r>
              <w:rPr>
                <w:rFonts w:ascii="Times New Roman" w:hAnsi="Times New Roman"/>
                <w:color w:val="FFFFFF"/>
                <w:sz w:val="22"/>
              </w:rPr>
              <w:t>Phenotype Category</w:t>
            </w:r>
          </w:p>
        </w:tc>
        <w:tc>
          <w:tcPr>
            <w:tcW w:w="1728" w:type="dxa"/>
            <w:shd w:val="clear" w:color="auto" w:fill="2F5496"/>
          </w:tcPr>
          <w:p w14:paraId="2B87980C">
            <w:pPr>
              <w:spacing w:after="0" w:line="240" w:lineRule="auto"/>
            </w:pPr>
            <w:r>
              <w:rPr>
                <w:rFonts w:ascii="Times New Roman" w:hAnsi="Times New Roman"/>
                <w:color w:val="FFFFFF"/>
                <w:sz w:val="22"/>
              </w:rPr>
              <w:t>Level of Evidence</w:t>
            </w:r>
          </w:p>
        </w:tc>
      </w:tr>
      <w:tr w14:paraId="7B22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1D21EF">
            <w:pPr>
              <w:spacing w:after="0" w:line="240" w:lineRule="auto"/>
            </w:pPr>
            <w:r>
              <w:rPr>
                <w:rFonts w:ascii="Times New Roman" w:hAnsi="Times New Roman"/>
                <w:sz w:val="22"/>
              </w:rPr>
              <w:t xml:space="preserve">GNB3</w:t>
            </w:r>
          </w:p>
        </w:tc>
        <w:tc>
          <w:tcPr>
            <w:tcW w:w="1728" w:type="dxa"/>
          </w:tcPr>
          <w:p w14:paraId="634E60F8">
            <w:pPr>
              <w:spacing w:after="0" w:line="240" w:lineRule="auto"/>
            </w:pPr>
            <w:r>
              <w:rPr>
                <w:rFonts w:ascii="Times New Roman" w:hAnsi="Times New Roman"/>
                <w:sz w:val="22"/>
              </w:rPr>
              <w:t xml:space="preserve">rs5443</w:t>
            </w:r>
          </w:p>
        </w:tc>
        <w:tc>
          <w:tcPr>
            <w:tcW w:w="1728" w:type="dxa"/>
          </w:tcPr>
          <w:p w14:paraId="6D05F2FE">
            <w:pPr>
              <w:spacing w:after="0" w:line="240" w:lineRule="auto"/>
            </w:pPr>
            <w:r>
              <w:rPr>
                <w:rFonts w:ascii="Times New Roman" w:hAnsi="Times New Roman"/>
                <w:sz w:val="22"/>
              </w:rPr>
              <w:t xml:space="preserve">TT</w:t>
            </w:r>
          </w:p>
        </w:tc>
        <w:tc>
          <w:tcPr>
            <w:tcW w:w="1728" w:type="dxa"/>
          </w:tcPr>
          <w:p w14:paraId="38CA6CD4">
            <w:pPr>
              <w:spacing w:after="0" w:line="240" w:lineRule="auto"/>
            </w:pPr>
            <w:r>
              <w:rPr>
                <w:rFonts w:ascii="Times New Roman" w:hAnsi="Times New Roman"/>
                <w:sz w:val="22"/>
              </w:rPr>
              <w:t xml:space="preserve">Toxicity</w:t>
            </w:r>
          </w:p>
        </w:tc>
        <w:tc>
          <w:tcPr>
            <w:tcW w:w="1728" w:type="dxa"/>
          </w:tcPr>
          <w:p w14:paraId="743AACC0">
            <w:pPr>
              <w:spacing w:after="0" w:line="240" w:lineRule="auto"/>
            </w:pPr>
            <w:r>
              <w:rPr>
                <w:rFonts w:ascii="Times New Roman" w:hAnsi="Times New Roman"/>
                <w:sz w:val="22"/>
              </w:rPr>
              <w:t xml:space="preserve">3</w:t>
            </w:r>
          </w:p>
        </w:tc>
      </w:tr>
    </w:tbl>
    <w:p w14:paraId="63B26187">
      <w:r>
        <w:rPr>
          <w:rFonts w:ascii="Times New Roman" w:hAnsi="Times New Roman"/>
          <w:b/>
          <w:color w:val="000000"/>
          <w:sz w:val="18"/>
        </w:rPr>
        <w:t>* Level of Evidence：1A：Highest reliability；1B: Strong evidence；2A: Moderate reliability with enhanced pharmacogenetic focus ; 2B: Moderate evidence; 3: Emerging evidence; 4: Minimal to no evidence.</w:t>
      </w:r>
    </w:p>
    <w:p w14:paraId="0D5328BF">
      <w:pPr>
        <w:pStyle w:val="4"/>
        <w:jc w:val="left"/>
        <w:rPr>
          <w:rFonts w:ascii="Times New Roman" w:hAnsi="Times New Roman"/>
          <w:b/>
          <w:color w:val="000000"/>
          <w:sz w:val="28"/>
        </w:rPr>
      </w:pPr>
    </w:p>
    <w:p>
      <w:pPr>
        <w:jc w:val="center"/>
      </w:pPr>
      <w:r>
        <w:rPr>
          <w:rFonts w:ascii="Times New Roman" w:hAnsi="Times New Roman"/>
          <w:b/>
          <w:sz w:val="28"/>
        </w:rPr>
        <w:t>Detailed Drug Information: 1. Methadone</w:t>
      </w:r>
    </w:p>
    <w:p>
      <w:r>
        <w:rPr>
          <w:rFonts w:ascii="Times New Roman" w:hAnsi="Times New Roman"/>
          <w:b/>
          <w:color w:val="000000"/>
          <w:sz w:val="24"/>
        </w:rPr>
        <w:t>Summary</w:t>
      </w:r>
    </w:p>
    <w:p>
      <w:pPr>
        <w:jc w:val="both"/>
      </w:pPr>
      <w:r>
        <w:rPr>
          <w:rFonts w:ascii="Times New Roman" w:hAnsi="Times New Roman"/>
          <w:sz w:val="22"/>
        </w:rPr>
        <w:t>Methadone is an opioid analgesic indicated for management of severe pain that is not responsive to alternative treatments. Also used to aid in detoxification and maintenance treatment of opioid addiction.</w:t>
      </w:r>
    </w:p>
    <w:p>
      <w:r>
        <w:rPr>
          <w:rFonts w:ascii="Times New Roman" w:hAnsi="Times New Roman"/>
          <w:b/>
          <w:color w:val="000000"/>
          <w:sz w:val="24"/>
        </w:rPr>
        <w:t>Brand Names</w:t>
      </w:r>
    </w:p>
    <w:p>
      <w:pPr>
        <w:jc w:val="both"/>
      </w:pPr>
      <w:r>
        <w:rPr>
          <w:rFonts w:ascii="Times New Roman" w:hAnsi="Times New Roman"/>
          <w:sz w:val="22"/>
        </w:rPr>
        <w:t>Diskets, Dolophine, Metadol, Metadol-D, Methadose</w:t>
      </w:r>
    </w:p>
    <w:p>
      <w:r>
        <w:rPr>
          <w:rFonts w:ascii="Times New Roman" w:hAnsi="Times New Roman"/>
          <w:b/>
          <w:color w:val="000000"/>
          <w:sz w:val="24"/>
        </w:rPr>
        <w:t>Pharmacodynamics</w:t>
      </w:r>
    </w:p>
    <w:p>
      <w:pPr>
        <w:jc w:val="both"/>
      </w:pPr>
      <w:r>
        <w:rPr>
          <w:rFonts w:ascii="Times New Roman" w:hAnsi="Times New Roman"/>
          <w:sz w:val="22"/>
        </w:rPr>
        <w:t>Overall, methadone's pharmacological actions result in analgesia, suppression of opioid withdrawal symptoms, sedation, miosis (through binding to receptors in the pupillary muscles), sweating, hypotension, bradycardia, nausea and vomiting (via binding within the chemoreceptor trigger zone), and constipation. Like many basic drugs, methadone also enters mast cells and releases histamine by a non-immunological mechanism leading to flushing, pruritus, and urticaria, which can commonly be misattributed to an allergic reaction. Compared to other opioids, methadone has fewer active metabolites and therefore a lower risk of neuropsychiatric toxicity. This means that higher doses needed to manage severe pain or addiction are less likely to result in delirium, hyperalgesia, or seizures. Similar to morphine, both methadone isomers are 5-HT(3) receptor antagonists, although l-methadone produces greater inhibition than d-methadone. Methadone's effects are reversible by naloxone with a pA2 value similar to its antagonism of morphine. Dependence and Tolerance As with other opioids, tolerance and physical dependence may develop upon repeated administration of methadone and there is a potential for development of psychological dependence. Physical dependence and tolerance reflect the neuroadaptation of the opioid receptors to chronic exposure to an opioid and are separate and distinct from abuse and addiction. Tolerance, as well as physical dependence, may develop upon repeated administration of opioids, and are not by themselves evidence of an addictive disorder or abuse. Patients on prolonged therapy should be tapered gradually from the drug if it is no longer required for pain control. Withdrawal symptoms may occur following abrupt discontinuation of therapy or upon administration of an opioid antagonist. Some of the symptoms that may be associated with abrupt withdrawal of an opioid analgesic include body aches, diarrhea, gooseflesh, loss of appetite, nausea, nervousness or restlessness, anxiety, runny nose, sneezing, tremors or shivering, stomach cramps, tachycardia, trouble with sleeping, unusual increase in sweating, palpitations, unexplained fever, weakness and yawning. Cardiac Conduction Effects Laboratory studies, both in vivo and in vitro, have demonstrated that methadone inhibits cardiac potassium channels and prolongs the QT interval. Cases of QT interval prolongation and serious arrhythmia (torsades de pointes) have been observed during treatment with methadone. These cases appear to be more commonly associated with, but not limited to, higher dose treatment (&gt; 200 mg/day). Methadone should be administered with particular caution to patients already at risk for development of prolonged QT interval (e.g. cardiac hypertrophy, concomitant diuretic use, hypokalemia, hypomagnesemia). Careful monitoring is recommended when using methadone in patients with a history of cardiac conduction disease, those taking medications affecting cardiac conduction, and in other cases where history or physical exam suggest an increased risk of dysrhythmia. Respiratory Depression and Overdose Serious, life-threatening, or fatal respiratory depression may occur with use of methadone. Patients should be monitored for respiratory depression, especially during initiation of methadone or following a dose increase. Respiratory depression is of particular concern in elderly or debilitated patients as well as in those suffering from conditions accompanied by hypoxia or hypercapnia when even moderate therapeutic doses may dangerously decrease pulmonary ventilation. Methadone should be administered with extreme caution to patients with conditions accompanied by hypoxia, hypercapnia, or decreased respiratory reserve such as: asthma, chronic obstructive pulmonary disease or cor pulmonale, severe obesity, sleep apnea syndrome, myxedema, kyphoscoliosis, and CNS depression or coma. In these patients, even usual therapeutic doses of methadone may decrease respiratory drive while simultaneously increasing airway resistance to the point of apnea. Alternative, non-opioid analgesics should be considered, and methadone should be employed only under careful medical supervision at the lowest effective dose. Infants exposed in-utero or through breast milk are at risk of life-threatening respiratory depression upon delivery or when nursed. Methadone's peak respiratory depressant effects typically occur later, and persist longer than its peak analgesic effects, in the short-term use setting. These characteristics can contribute to cases of iatrogenic overdose, particularly during treatment initiation and dose titration. Head Injury and Increased Intracranial Pressure The respiratory depressant effects of opioids and their capacity to elevate cerebrospinal fluid pressure may be markedly exaggerated in the presence of head injury, other intracranial lesions or a pre-existing increase in intracranial pressure. Furthermore, opioids produce effects which may obscure the clinical course of patients with head injuries. In such patients, methadone must be used with caution, and only if it is deemed essential. Incomplete Cross-tolerance between Methadone and other Opioids Patients tolerant to other opioids may be incompletely tolerant to methadone. Incomplete cross-tolerance is of particular concern for patients tolerant to other µ-opioid agonists who are being converted to methadone, thus making the determination of dosing during opioid conversion complex. Deaths have been reported during conversion from chronic, high-dose treatment with other opioid agonists. A high degree of “opioid tolerance” does not eliminate the possibility of methadone overdose, iatrogenic or otherwise. Crosstolerance between morphine and methadone has been demonstrated, as steady-state plasma methadone concentrations required for effectiveness (C50%) were higher in abstinent rats previously dosed with morphine, as compared to controls. Misuse, Abuse, and Diversion of Opioids Methadone is a mu-agonist opioid with an abuse liability similar to morphine. Methadone, like morphine and other opioids used for analgesia, has the potential for being abused and is subject to criminal diversion. Methadone can be abused in a manner similar to other opioid agonists, legal or illicit. This should be considered when dispensing Methadone in situations where the clinician is concerned about an increased risk of misuse, abuse, or diversion. Hypotensive Effect The administration of methadone may result in severe hypotension in patients whose ability to maintain normal blood pressure is compromised (e.g. severe volume depletion). Gastrointestinal Effects Methadone and other morphine-like opioids have been shown to decrease bowel motility and cause constipation. This primarily occurs through agonism of opioid receptors in the gut wall. Methadone may obscure the diagnosis or clinical course of patients with acute abdominal conditions. Sexual Function/Reproduction Reproductive function in human males may be decreased by methadone treatment. Reductions in ejaculate volume and seminal vesicle and prostate secretions have been reported in methadone-treated individuals. In addition, reductions in serum testosterone levels and sperm motility, and abnormalities in sperm morphology have been reported. Long-term use of opioids may be associated with decreased sex hormone levels and symptoms such as low libido, erectile dysfunction, or infertility.[19],[20],[22],[23],[24],[22],[23],[24],[22],[23],[24],[22],[23],[24],[22],[23],[24],[22],[23],[24],[22],[23],[24],[22],[23],[24],[22],[23],[24],[22],[23],[24]</w:t>
      </w:r>
    </w:p>
    <w:p>
      <w:r>
        <w:rPr>
          <w:rFonts w:ascii="Times New Roman" w:hAnsi="Times New Roman"/>
          <w:b/>
          <w:color w:val="000000"/>
          <w:sz w:val="24"/>
        </w:rPr>
        <w:t>Absorption</w:t>
      </w:r>
    </w:p>
    <w:p>
      <w:pPr>
        <w:jc w:val="both"/>
      </w:pPr>
      <w:r>
        <w:rPr>
          <w:rFonts w:ascii="Times New Roman" w:hAnsi="Times New Roman"/>
          <w:sz w:val="22"/>
        </w:rPr>
        <w:t>Methadone is one of the more lipid-soluble opioids and is well absorbed from the gastrointestinal tract. Following oral administration of methadone, bioavailability ranges from 36-100%, with a marked interindividual variation. It can be detected in blood as soon as 15-45 minutes following administration with peak plasma concentrations achieved between 1 to 7.5 hours. A second peak is observed ~4 hours after administration and is likely due to enterohepatic circulation. Dose proportionality of methadone pharmacokinetics is not known. Following administration of daily oral doses ranging from 10 to 225 mg the steady-state plasma concentrations ranged between 65 to 630 ng/mL and the peak concentrations ranged between 1 to 1255 ng/mL. Effect of food on the bioavailability of methadone has not been evaluated. Slower absorption is observed in opioid users compared to healthy subjects, which may reflect the pharmacological effect of opioids in slowing gastric emptying and mobility. Due to the large inter-individual variation in methadone pharmacokinetics and pharmacodynamics, treatment should be individualized to each patient. There was an up to 17-fold interindividual variation found in methadone blood concentrations for a given dosage, likely due in part to individual variability in CYP enzyme function. There is also a large variability in pharmacokinetics between methadone's enantiomers, which further complicates pharmacokinetic interpretation and study.[2],[22],[23],[24],[2],[22],[23],[24],[2],[22],[23],[24],[2],[8]</w:t>
      </w:r>
    </w:p>
    <w:p>
      <w:r>
        <w:rPr>
          <w:rFonts w:ascii="Times New Roman" w:hAnsi="Times New Roman"/>
          <w:b/>
          <w:color w:val="000000"/>
          <w:sz w:val="24"/>
        </w:rPr>
        <w:t>Volume of distribution</w:t>
      </w:r>
    </w:p>
    <w:p>
      <w:pPr>
        <w:jc w:val="both"/>
      </w:pPr>
      <w:r>
        <w:rPr>
          <w:rFonts w:ascii="Times New Roman" w:hAnsi="Times New Roman"/>
          <w:sz w:val="22"/>
        </w:rPr>
        <w:t>Due to interindividual differences in pharmacokinetics, estimates of methadone's volume of distribution have ranged from 189-470 L with monographs listing it between 1.0-8.0L/kg. As this is higher than physiological volumes of total body water, methadone is highly distributed in the body including brain, gut, kidney, liver, muscle, and lung. A population pharmacokinetic study found that subject gender and weight explained ~33% of the variance in the apparent volume of distribution of methadone. Methadone is found to be secreted in saliva, sweat, breast milk, amniotic fluid and umbilical cord plasma. The concentration in cord blood is about half the maternal levels.[8],[22],[23],[24],[2],[24],[24]</w:t>
      </w:r>
    </w:p>
    <w:p>
      <w:r>
        <w:rPr>
          <w:rFonts w:ascii="Times New Roman" w:hAnsi="Times New Roman"/>
          <w:b/>
          <w:color w:val="000000"/>
          <w:sz w:val="24"/>
        </w:rPr>
        <w:t>Protein binding</w:t>
      </w:r>
    </w:p>
    <w:p>
      <w:pPr>
        <w:jc w:val="both"/>
      </w:pPr>
      <w:r>
        <w:rPr>
          <w:rFonts w:ascii="Times New Roman" w:hAnsi="Times New Roman"/>
          <w:sz w:val="22"/>
        </w:rPr>
        <w:t>Methadone is highly bound to plasma proteins. While it primarily binds to α1-acid glycoprotein (85-90%), it also binds to albumin and other tissue and plasma proteins including lipoproteins. Methadone is unusual in the opioid class, in that there is extensive binding to tissue proteins and fairly slow transfer between some parts of this tissue reservoir and the plasma.[2],[24],[11]</w:t>
      </w:r>
    </w:p>
    <w:p>
      <w:r>
        <w:rPr>
          <w:rFonts w:ascii="Times New Roman" w:hAnsi="Times New Roman"/>
          <w:b/>
          <w:color w:val="000000"/>
          <w:sz w:val="24"/>
        </w:rPr>
        <w:t>Metabolism</w:t>
      </w:r>
    </w:p>
    <w:p>
      <w:pPr>
        <w:jc w:val="both"/>
      </w:pPr>
      <w:r>
        <w:rPr>
          <w:rFonts w:ascii="Times New Roman" w:hAnsi="Times New Roman"/>
          <w:sz w:val="22"/>
        </w:rPr>
        <w:t>Methadone undergoes fairly extensive first-pass metabolism. Cytochrome P450 enzymes, primarily CYP3A4, CYP2B6, and CYP2C1 and to a lesser extent CYP2C, CYP2C8, and CYP2D6, are responsible for conversion of methadone to EDDP (2-ethyl-1,5-dimethyl-3,3-diphenylpyrrolidine) and other inactive metabolites, which are excreted mainly in the urine. Methadone first undergoes N-demethylation to form a highly unstable compound that spontaneously converts to EDDP through cyclization and dehydration. EDDP is then converted to 2-ethyl5-methyl-3,3-diphenyl-1-pyrroline (EDMP). Both EDDP and EDMP are inactive. The CYP isozymes also demonstrate different affinities for metabolizing the different methadone enantiomers: CYP2C1, CYP3A7, and CYP2C8 preferentially metabolize (R)-methadone while CYP2B6, CYP2D6, and CYP2C18 preferentially metabolize (S)-methadone. CYP3A4 does not have an enantiomer preference. Single nucleotide polymorphisms (SNPs) within the cytochrome P450 enzymes can impact methadone pharmacokinetics and contribute to the interindividual variation in response to methadone therapy. In particular, CYP2B6 polymorphisms have been shown to impact individual response to methadone as it is the predominant determinant involved in the N-demethylation of methadone, clearance, and the metabolic ratios of [methadone]/[EDDP]. The SNPs CYP2B6*6, *9, *11, CYP2C19*2, *3, CYP3A4*1B, and CYP3A5*3 result in increased methadone plasma concentrations, decreased N-demethylation, and decreased methadone clearance, while homozygous carriers of CYP2B6*6/*6 demonstrate diminished metabolism and clearance of methadone. See the pharmacogenomics section for further information. Pharmacogenomic effects on the CYP enzymes can be significant as the long half-life of methadone can result in some individuals having higher than normal therapeutic levels which puts them at risk of dose-related side effects. For example, elevated (R)-methadone levels can increase the risk of respiratory depression, while elevated (S)-methadone levels can increase the risk of severe cardiac arrhythmias due to prolonged QTc interval. Hover over products below to view reaction partners Methadone 2-Ethylidene-1,5-dimethyl-3,3-diphenylpyrrolidine + [S-(E)]-2-Ethylidene-1,5-dimethyl-3,3-diphenyl-pyrrolidine 2-Ethyl-5-methyl-3,3-diphenyl-1-pyrroline (EMDP).[22],[24],[11],[9],[11],[10],[10],[10]</w:t>
      </w:r>
    </w:p>
    <w:p>
      <w:r>
        <w:rPr>
          <w:rFonts w:ascii="Times New Roman" w:hAnsi="Times New Roman"/>
          <w:b/>
          <w:color w:val="000000"/>
          <w:sz w:val="24"/>
        </w:rPr>
        <w:t>Route of elimination</w:t>
      </w:r>
    </w:p>
    <w:p>
      <w:pPr>
        <w:jc w:val="both"/>
      </w:pPr>
      <w:r>
        <w:rPr>
          <w:rFonts w:ascii="Times New Roman" w:hAnsi="Times New Roman"/>
          <w:sz w:val="22"/>
        </w:rPr>
        <w:t>The elimination of methadone is mediated by extensive biotransformation, followed by renal and fecal excretion. Unmetabolized methadone and its metabolites are excreted in urine to a variable degree.</w:t>
      </w:r>
    </w:p>
    <w:p>
      <w:r>
        <w:rPr>
          <w:rFonts w:ascii="Times New Roman" w:hAnsi="Times New Roman"/>
          <w:b/>
          <w:color w:val="000000"/>
          <w:sz w:val="24"/>
        </w:rPr>
        <w:t>Half-life</w:t>
      </w:r>
    </w:p>
    <w:p>
      <w:pPr>
        <w:jc w:val="both"/>
      </w:pPr>
      <w:r>
        <w:rPr>
          <w:rFonts w:ascii="Times New Roman" w:hAnsi="Times New Roman"/>
          <w:sz w:val="22"/>
        </w:rPr>
        <w:t>Due to interindividual differences in pharmacokinetics, estimates of methadone's half-life have ranged from 15–207 hours with official monographs listing it between 7-59 hours.[8],[22],[23],[24]</w:t>
      </w:r>
    </w:p>
    <w:p>
      <w:r>
        <w:rPr>
          <w:rFonts w:ascii="Times New Roman" w:hAnsi="Times New Roman"/>
          <w:b/>
          <w:color w:val="000000"/>
          <w:sz w:val="24"/>
        </w:rPr>
        <w:t>Clearance</w:t>
      </w:r>
    </w:p>
    <w:p>
      <w:pPr>
        <w:jc w:val="both"/>
      </w:pPr>
      <w:r>
        <w:rPr>
          <w:rFonts w:ascii="Times New Roman" w:hAnsi="Times New Roman"/>
          <w:sz w:val="22"/>
        </w:rPr>
        <w:t>Due to interindividual differences in pharmacokinetics, estimates of methadone's clearance have ranged from 5.9–13 L/h hours with approved monographs listing it between 1.4 to 126 L/h.[8],[22],[23],[24]</w:t>
      </w:r>
    </w:p>
    <w:p>
      <w:r>
        <w:rPr>
          <w:rFonts w:ascii="Times New Roman" w:hAnsi="Times New Roman"/>
          <w:b/>
          <w:color w:val="000000"/>
          <w:sz w:val="24"/>
        </w:rPr>
        <w:t>Toxicity</w:t>
      </w:r>
    </w:p>
    <w:p>
      <w:pPr>
        <w:jc w:val="both"/>
      </w:pPr>
      <w:r>
        <w:rPr>
          <w:rFonts w:ascii="Times New Roman" w:hAnsi="Times New Roman"/>
          <w:sz w:val="22"/>
        </w:rPr>
        <w:t>In severe overdosage, particularly by the intravenous route, apnea, circulatory collapse, cardiac arrest, and death may occur.</w:t>
      </w:r>
    </w:p>
    <w:p/>
    <w:p>
      <w:r>
        <w:rPr>
          <w:rFonts w:ascii="Times New Roman" w:hAnsi="Times New Roman"/>
          <w:b/>
          <w:color w:val="000000"/>
          <w:sz w:val="24"/>
        </w:rPr>
        <w:t>General References</w:t>
      </w:r>
    </w:p>
    <w:p>
      <w:pPr>
        <w:ind w:left="400"/>
      </w:pPr>
      <w:r>
        <w:rPr>
          <w:rFonts w:ascii="Times New Roman" w:hAnsi="Times New Roman"/>
          <w:sz w:val="20"/>
        </w:rPr>
        <w:t>1. Kell MJ: Utilization of plasma and urine methadone concentrations to optimize treatment in maintenance clinics: I. Measurement techniques for a clinical setting. J Addict Dis. 1994;13(1):5-26. - https://go.drugbank.com/articles/A496</w:t>
      </w:r>
    </w:p>
    <w:p>
      <w:pPr>
        <w:ind w:left="400"/>
      </w:pPr>
      <w:r>
        <w:rPr>
          <w:rFonts w:ascii="Times New Roman" w:hAnsi="Times New Roman"/>
          <w:sz w:val="20"/>
        </w:rPr>
        <w:t>2. Eap CB, Buclin T, Baumann P: Interindividual variability of the clinical pharmacokinetics of methadone: implications for the treatment of opioid dependence. Clin Pharmacokinet. 2002;41(14):1153-93. doi: 10.2165/00003088-200241140-00003. - https://go.drugbank.com/articles/A497</w:t>
      </w:r>
    </w:p>
    <w:p>
      <w:pPr>
        <w:ind w:left="400"/>
      </w:pPr>
      <w:r>
        <w:rPr>
          <w:rFonts w:ascii="Times New Roman" w:hAnsi="Times New Roman"/>
          <w:sz w:val="20"/>
        </w:rPr>
        <w:t>3. Joseph H, Stancliff S, Langrod J: Methadone maintenance treatment (MMT): a review of historical and clinical issues. Mt Sinai J Med. 2000 Oct-Nov;67(5-6):347-64. - https://go.drugbank.com/articles/A498</w:t>
      </w:r>
    </w:p>
    <w:p>
      <w:pPr>
        <w:ind w:left="400"/>
      </w:pPr>
      <w:r>
        <w:rPr>
          <w:rFonts w:ascii="Times New Roman" w:hAnsi="Times New Roman"/>
          <w:sz w:val="20"/>
        </w:rPr>
        <w:t>4. Connock M, Juarez-Garcia A, Jowett S, Frew E, Liu Z, Taylor RJ, Fry-Smith A, Day E, Lintzeris N, Roberts T, Burls A, Taylor RS: Methadone and buprenorphine for the management of opioid dependence: a systematic review and economic evaluation. Health Technol Assess. 2007 Mar;11(9):1-171, iii-iv. - https://go.drugbank.com/articles/A499</w:t>
      </w:r>
    </w:p>
    <w:p>
      <w:pPr>
        <w:ind w:left="400"/>
      </w:pPr>
      <w:r>
        <w:rPr>
          <w:rFonts w:ascii="Times New Roman" w:hAnsi="Times New Roman"/>
          <w:sz w:val="20"/>
        </w:rPr>
        <w:t>5. Donny EC, Brasser SM, Bigelow GE, Stitzer ML, Walsh SL: Methadone doses of 100 mg or greater are more effective than lower doses at suppressing heroin self-administration in opioid-dependent volunteers. Addiction. 2005 Oct;100(10):1496-509. - https://go.drugbank.com/articles/A500</w:t>
      </w:r>
    </w:p>
    <w:p>
      <w:pPr>
        <w:ind w:left="400"/>
      </w:pPr>
      <w:r>
        <w:rPr>
          <w:rFonts w:ascii="Times New Roman" w:hAnsi="Times New Roman"/>
          <w:sz w:val="20"/>
        </w:rPr>
        <w:t>6. Haroutiunian S, McNicol ED, Lipman AG: Methadone for chronic non-cancer pain in adults. Cochrane Database Syst Rev. 2012 Nov 14;11:CD008025. doi: 10.1002/14651858.CD008025.pub2. - https://go.drugbank.com/articles/A183917</w:t>
      </w:r>
    </w:p>
    <w:p>
      <w:pPr>
        <w:ind w:left="400"/>
      </w:pPr>
      <w:r>
        <w:rPr>
          <w:rFonts w:ascii="Times New Roman" w:hAnsi="Times New Roman"/>
          <w:sz w:val="20"/>
        </w:rPr>
        <w:t>7. Codd EE, Shank RP, Schupsky JJ, Raffa RB: Serotonin and norepinephrine uptake inhibiting activity of centrally acting analgesics: structural determinants and role in antinociception. J Pharmacol Exp Ther. 1995 Sep;274(3):1263-70. - https://go.drugbank.com/articles/A5344</w:t>
      </w:r>
    </w:p>
    <w:p>
      <w:pPr>
        <w:ind w:left="400"/>
      </w:pPr>
      <w:r>
        <w:rPr>
          <w:rFonts w:ascii="Times New Roman" w:hAnsi="Times New Roman"/>
          <w:sz w:val="20"/>
        </w:rPr>
        <w:t>8. Bart G, Lenz S, Straka RJ, Brundage RC: Ethnic and genetic factors in methadone pharmacokinetics: a population pharmacokinetic study. Drug Alcohol Depend. 2014 Dec 1;145:185-93. doi: 10.1016/j.drugalcdep.2014.10.014. Epub 2014 Oct 24. - https://go.drugbank.com/articles/A183995</w:t>
      </w:r>
    </w:p>
    <w:p>
      <w:pPr>
        <w:ind w:left="400"/>
      </w:pPr>
      <w:r>
        <w:rPr>
          <w:rFonts w:ascii="Times New Roman" w:hAnsi="Times New Roman"/>
          <w:sz w:val="20"/>
        </w:rPr>
        <w:t>9. Wang SC, Ho IK, Tsou HH, Tian JN, Hsiao CF, Chen CH, Tan HK, Lin L, Wu CS, Su LW, Huang CL, Yang YH, Liu ML, Lin KM, Chen CY, Liu SC, Wu HY, Chan HW, Tsai MH, Lin PS, Liu YL: CYP2B6 polymorphisms influence the plasma concentration and clearance of the methadone S-enantiomer. J Clin Psychopharmacol. 2011 Aug;31(4):463-9. doi: 10.1097/JCP.0b013e318222b5dd. - https://go.drugbank.com/articles/A184061</w:t>
      </w:r>
    </w:p>
    <w:p>
      <w:pPr>
        <w:ind w:left="400"/>
      </w:pPr>
      <w:r>
        <w:rPr>
          <w:rFonts w:ascii="Times New Roman" w:hAnsi="Times New Roman"/>
          <w:sz w:val="20"/>
        </w:rPr>
        <w:t>10. Ahmad T, Valentovic MA, Rankin GO: Effects of cytochrome P450 single nucleotide polymorphisms on methadone metabolism and pharmacodynamics. Biochem Pharmacol. 2018 Jul;153:196-204. doi: 10.1016/j.bcp.2018.02.020. Epub 2018 Feb 16. - https://go.drugbank.com/articles/A184610</w:t>
      </w:r>
    </w:p>
    <w:p>
      <w:pPr>
        <w:ind w:left="400"/>
      </w:pPr>
      <w:r>
        <w:rPr>
          <w:rFonts w:ascii="Times New Roman" w:hAnsi="Times New Roman"/>
          <w:sz w:val="20"/>
        </w:rPr>
        <w:t>11. Volpe DA, Xu Y, Sahajwalla CG, Younis IR, Patel V: Methadone Metabolism and Drug-Drug Interactions: In Vitro and In Vivo Literature Review. J Pharm Sci. 2018 Dec;107(12):2983-2991. doi: 10.1016/j.xphs.2018.08.025. Epub 2018 Sep 8. - https://go.drugbank.com/articles/A185234</w:t>
      </w:r>
    </w:p>
    <w:p>
      <w:pPr>
        <w:ind w:left="400"/>
      </w:pPr>
      <w:r>
        <w:rPr>
          <w:rFonts w:ascii="Times New Roman" w:hAnsi="Times New Roman"/>
          <w:sz w:val="20"/>
        </w:rPr>
        <w:t>12. Deng M, Chen SR, Pan HL: Presynaptic NMDA receptors control nociceptive transmission at the spinal cord level in neuropathic pain. Cell Mol Life Sci. 2019 May;76(10):1889-1899. doi: 10.1007/s00018-019-03047-y. Epub 2019 Feb 20. - https://go.drugbank.com/articles/A185876</w:t>
      </w:r>
    </w:p>
    <w:p>
      <w:pPr>
        <w:ind w:left="400"/>
      </w:pPr>
      <w:r>
        <w:rPr>
          <w:rFonts w:ascii="Times New Roman" w:hAnsi="Times New Roman"/>
          <w:sz w:val="20"/>
        </w:rPr>
        <w:t>13. Ferri M, Minozzi S, Bo A, Amato L: Slow-release oral morphine as maintenance therapy for opioid dependence. Cochrane Database Syst Rev. 2013 Jun 5;(6):CD009879. doi: 10.1002/14651858.CD009879.pub2. - https://go.drugbank.com/articles/A185882</w:t>
      </w:r>
    </w:p>
    <w:p>
      <w:pPr>
        <w:ind w:left="400"/>
      </w:pPr>
      <w:r>
        <w:rPr>
          <w:rFonts w:ascii="Times New Roman" w:hAnsi="Times New Roman"/>
          <w:sz w:val="20"/>
        </w:rPr>
        <w:t>14. Toombs JD, Kral LA: Methadone treatment for pain states. Am Fam Physician. 2005 Apr 1;71(7):1353-8. - https://go.drugbank.com/articles/A185885</w:t>
      </w:r>
    </w:p>
    <w:p>
      <w:pPr>
        <w:ind w:left="400"/>
      </w:pPr>
      <w:r>
        <w:rPr>
          <w:rFonts w:ascii="Times New Roman" w:hAnsi="Times New Roman"/>
          <w:sz w:val="20"/>
        </w:rPr>
        <w:t>15. Kahan M, Wilson L, Mailis-Gagnon A, Srivastava A: Canadian guideline for safe and effective use of opioids for chronic noncancer pain: clinical summary for family physicians. Part 2: special populations. Can Fam Physician. 2011 Nov;57(11):1269-76, e419-28. - https://go.drugbank.com/articles/A185888</w:t>
      </w:r>
    </w:p>
    <w:p>
      <w:pPr>
        <w:ind w:left="400"/>
      </w:pPr>
      <w:r>
        <w:rPr>
          <w:rFonts w:ascii="Times New Roman" w:hAnsi="Times New Roman"/>
          <w:sz w:val="20"/>
        </w:rPr>
        <w:t>16. Crews JC, Sweeney NJ, Denson DD: Clinical efficacy of methadone in patients refractory to other mu-opioid receptor agonist analgesics for management of terminal cancer pain. Case presentations and discussion of incomplete cross-tolerance among opioid agonist analgesics. Cancer. 1993 Oct 1;72(7):2266-72. doi: 10.1002/1097-0142(19931001)72:7&lt;2266::aid-cncr2820720734&gt;3.0.co;2-p. - https://go.drugbank.com/articles/A185891</w:t>
      </w:r>
    </w:p>
    <w:p>
      <w:pPr>
        <w:ind w:left="400"/>
      </w:pPr>
      <w:r>
        <w:rPr>
          <w:rFonts w:ascii="Times New Roman" w:hAnsi="Times New Roman"/>
          <w:sz w:val="20"/>
        </w:rPr>
        <w:t>17. Hewitt DJ: The use of NMDA-receptor antagonists in the treatment of chronic pain. Clin J Pain. 2000 Jun;16(2 Suppl):S73-9. - https://go.drugbank.com/articles/A185894</w:t>
      </w:r>
    </w:p>
    <w:p>
      <w:pPr>
        <w:ind w:left="400"/>
      </w:pPr>
      <w:r>
        <w:rPr>
          <w:rFonts w:ascii="Times New Roman" w:hAnsi="Times New Roman"/>
          <w:sz w:val="20"/>
        </w:rPr>
        <w:t>18. Bruera E, Neumann CM: Role of methadone in the management of pain in cancer patients. Oncology (Williston Park). 1999 Sep;13(9):1275-82; discussion 1285-8, 1291. - https://go.drugbank.com/articles/A185897</w:t>
      </w:r>
    </w:p>
    <w:p>
      <w:pPr>
        <w:ind w:left="400"/>
      </w:pPr>
      <w:r>
        <w:rPr>
          <w:rFonts w:ascii="Times New Roman" w:hAnsi="Times New Roman"/>
          <w:sz w:val="20"/>
        </w:rPr>
        <w:t>19. Mercadante S: Pathophysiology and treatment of opioid-related myoclonus in cancer patients. Pain. 1998 Jan;74(1):5-9. - https://go.drugbank.com/articles/A185900</w:t>
      </w:r>
    </w:p>
    <w:p>
      <w:pPr>
        <w:ind w:left="400"/>
      </w:pPr>
      <w:r>
        <w:rPr>
          <w:rFonts w:ascii="Times New Roman" w:hAnsi="Times New Roman"/>
          <w:sz w:val="20"/>
        </w:rPr>
        <w:t>20. Sarhill N, Davis MP, Walsh D, Nouneh C: Methadone-induced myoclonus in advanced cancer. Am J Hosp Palliat Care. 2001 Jan-Feb;18(1):51-3. doi: 10.1177/104990910101800113. - https://go.drugbank.com/articles/A185903</w:t>
      </w:r>
    </w:p>
    <w:p>
      <w:pPr>
        <w:ind w:left="400"/>
      </w:pPr>
      <w:r>
        <w:rPr>
          <w:rFonts w:ascii="Times New Roman" w:hAnsi="Times New Roman"/>
          <w:sz w:val="20"/>
        </w:rPr>
        <w:t>21. FDA Approved Drug Products: DISKETS (methadone hydrochloride) tablets, for oral suspension CII - https://www.accessdata.fda.gov/drugsatfda_docs/label/2023/017058s028lbl.pdf</w:t>
      </w:r>
    </w:p>
    <w:p>
      <w:pPr>
        <w:ind w:left="400"/>
      </w:pPr>
      <w:r>
        <w:rPr>
          <w:rFonts w:ascii="Times New Roman" w:hAnsi="Times New Roman"/>
          <w:sz w:val="20"/>
        </w:rPr>
        <w:t>22. FDA Label - Methadone - https://s3-us-west-2.amazonaws.com/drugbank/cite_this/attachments/files/000/004/685/original/FDA_Label_-_methadone.pdf?1566927671</w:t>
      </w:r>
    </w:p>
    <w:p>
      <w:pPr>
        <w:ind w:left="400"/>
      </w:pPr>
      <w:r>
        <w:rPr>
          <w:rFonts w:ascii="Times New Roman" w:hAnsi="Times New Roman"/>
          <w:sz w:val="20"/>
        </w:rPr>
        <w:t>23. Health Canada Label - Metadol - https://s3-us-west-2.amazonaws.com/drugbank/cite_this/attachments/files/000/004/688/original/Health_Canada_Label_-_Metadol.PDF?1566927686</w:t>
      </w:r>
    </w:p>
    <w:p>
      <w:pPr>
        <w:ind w:left="400"/>
      </w:pPr>
      <w:r>
        <w:rPr>
          <w:rFonts w:ascii="Times New Roman" w:hAnsi="Times New Roman"/>
          <w:sz w:val="20"/>
        </w:rPr>
        <w:t>24. Health Canada Label - Methadose - https://s3-us-west-2.amazonaws.com/drugbank/cite_this/attachments/files/000/004/691/original/Health_Canada_-_Methadose.PDF?1566927906</w:t>
      </w:r>
    </w:p>
    <w:p w14:paraId="6DCCAE92">
      <w:pPr>
        <w:pStyle w:val="4"/>
        <w:jc w:val="left"/>
      </w:pPr>
      <w:r>
        <w:rPr>
          <w:rFonts w:ascii="Times New Roman" w:hAnsi="Times New Roman"/>
          <w:b/>
          <w:color w:val="000000"/>
          <w:sz w:val="28"/>
        </w:rPr>
        <w:t>How to use the test results</w:t>
      </w:r>
    </w:p>
    <w:p w14:paraId="4A8C25FB">
      <w:pPr>
        <w:pStyle w:val="4"/>
        <w:jc w:val="left"/>
      </w:pPr>
      <w:r>
        <w:rPr>
          <w:rFonts w:ascii="Times New Roman" w:hAnsi="Times New Roman"/>
          <w:b/>
          <w:color w:val="000000"/>
          <w:sz w:val="24"/>
        </w:rPr>
        <w:t>Notification</w:t>
      </w:r>
    </w:p>
    <w:p w14:paraId="1420DBF4">
      <w:r>
        <w:rPr>
          <w:rFonts w:ascii="Times New Roman" w:hAnsi="Times New Roman"/>
          <w:sz w:val="22"/>
        </w:rPr>
        <w:t>The test does not yet have the qualifications for clinical diagnosis. The test results and medication recommendations provided are for reference only and cannot be directly used as the basis for clinical medication. If you have relevant medication needs, you can consult authoritative clinicians or professionals based on the results of this genetic test to obtain professional medication recommendations or follow the doctor's advice for clinically qualified inspection and test.</w:t>
      </w:r>
    </w:p>
    <w:p w14:paraId="64535D15">
      <w:pPr>
        <w:pStyle w:val="4"/>
        <w:jc w:val="left"/>
      </w:pPr>
      <w:r>
        <w:rPr>
          <w:rFonts w:ascii="Times New Roman" w:hAnsi="Times New Roman"/>
          <w:b/>
          <w:color w:val="000000"/>
          <w:sz w:val="24"/>
        </w:rPr>
        <w:t>Test content</w:t>
      </w:r>
    </w:p>
    <w:p w14:paraId="00C5FE89">
      <w:pPr>
        <w:rPr>
          <w:rFonts w:ascii="Times New Roman" w:hAnsi="Times New Roman"/>
          <w:sz w:val="22"/>
        </w:rPr>
      </w:pPr>
      <w:r>
        <w:rPr>
          <w:rFonts w:ascii="Times New Roman" w:hAnsi="Times New Roman"/>
          <w:sz w:val="22"/>
        </w:rPr>
        <w:t>Different genetic test versions and data sources may have different coverage of the above variants.</w:t>
      </w:r>
    </w:p>
    <w:p w14:paraId="73827B66">
      <w:pPr>
        <w:pStyle w:val="4"/>
        <w:jc w:val="left"/>
      </w:pPr>
      <w:r>
        <w:rPr>
          <w:rFonts w:ascii="Times New Roman" w:hAnsi="Times New Roman"/>
          <w:b/>
          <w:color w:val="000000"/>
          <w:sz w:val="24"/>
        </w:rPr>
        <w:t>Limit of detection</w:t>
      </w:r>
    </w:p>
    <w:p w14:paraId="444E6CA2">
      <w:r>
        <w:rPr>
          <w:rFonts w:ascii="Times New Roman" w:hAnsi="Times New Roman"/>
          <w:sz w:val="22"/>
        </w:rPr>
        <w:t>Test results are limited by the current technology and the level of scientific cognition. Depends on product package purchased, the test report may not cover all genes or loci related in each drug response. The accuracy of existing scientific research and the inherent detection error rate associated with the type of detection you purchase may also affect the accuracy of the interpretation of the item.</w:t>
      </w:r>
    </w:p>
    <w:p w14:paraId="76AB898E">
      <w:pPr>
        <w:rPr>
          <w:rFonts w:ascii="Times New Roman" w:hAnsi="Times New Roman"/>
          <w:sz w:val="22"/>
        </w:rPr>
      </w:pPr>
      <w:bookmarkStart w:id="3" w:name="_GoBack"/>
      <w:bookmarkEnd w:id="3"/>
    </w:p>
    <w:p w14:paraId="15AEC78B">
      <w:pPr>
        <w:rPr>
          <w:rFonts w:ascii="Times New Roman" w:hAnsi="Times New Roman"/>
          <w:sz w:val="22"/>
        </w:rPr>
      </w:pPr>
    </w:p>
    <w:p w14:paraId="115E6E25">
      <w:pPr>
        <w:rPr>
          <w:rFonts w:ascii="Times New Roman" w:hAnsi="Times New Roman"/>
          <w:sz w:val="22"/>
        </w:rPr>
      </w:pPr>
    </w:p>
    <w:p>
      <w:r>
        <w:br w:type="page"/>
      </w:r>
    </w:p>
    <w:p w14:paraId="67AD0B95">
      <w:r>
        <w:rPr>
          <w:sz w:val="22"/>
        </w:rPr>
        <mc:AlternateContent>
          <mc:Choice Requires="wps">
            <w:drawing>
              <wp:anchor distT="0" distB="0" distL="114300" distR="114300" simplePos="0" relativeHeight="251659264" behindDoc="0" locked="0" layoutInCell="1" allowOverlap="1">
                <wp:simplePos x="0" y="0"/>
                <wp:positionH relativeFrom="column">
                  <wp:posOffset>1701165</wp:posOffset>
                </wp:positionH>
                <wp:positionV relativeFrom="paragraph">
                  <wp:posOffset>130175</wp:posOffset>
                </wp:positionV>
                <wp:extent cx="2048510" cy="365760"/>
                <wp:effectExtent l="33655" t="10795" r="51435" b="61595"/>
                <wp:wrapNone/>
                <wp:docPr id="5" name="圆角矩形 6"/>
                <wp:cNvGraphicFramePr/>
                <a:graphic xmlns:a="http://schemas.openxmlformats.org/drawingml/2006/main">
                  <a:graphicData uri="http://schemas.microsoft.com/office/word/2010/wordprocessingShape">
                    <wps:wsp>
                      <wps:cNvSpPr/>
                      <wps:spPr>
                        <a:xfrm>
                          <a:off x="0" y="0"/>
                          <a:ext cx="2048510" cy="365760"/>
                        </a:xfrm>
                        <a:prstGeom prst="roundRect">
                          <a:avLst/>
                        </a:prstGeom>
                      </wps:spPr>
                      <wps:style>
                        <a:lnRef idx="0">
                          <a:srgbClr val="FFFFFF"/>
                        </a:lnRef>
                        <a:fillRef idx="1">
                          <a:schemeClr val="accent1"/>
                        </a:fillRef>
                        <a:effectRef idx="2">
                          <a:schemeClr val="accent1"/>
                        </a:effectRef>
                        <a:fontRef idx="minor">
                          <a:schemeClr val="lt1"/>
                        </a:fontRef>
                      </wps:style>
                      <wps:txb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Schizophrenia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95pt;margin-top:10.25pt;height:28.8pt;width:161.3pt;z-index:251659264;v-text-anchor:middle;mso-width-relative:page;mso-height-relative:page;" fillcolor="#4F81BD [3204]" filled="t" stroked="f" coordsize="21600,21600" arcsize="0.166666666666667" o:gfxdata="UEsDBAoAAAAAAIdO4kAAAAAAAAAAAAAAAAAEAAAAZHJzL1BLAwQUAAAACACHTuJAosOiMNcAAAAJ&#10;AQAADwAAAGRycy9kb3ducmV2LnhtbE2PTWvDMAyG74P9B6PBLmN1UmjSZnFKGIxedtjSwa5urMUh&#10;sRxi9+vfTz1tt1fo4dWjcntxozjhHHpPCtJFAgKp9aanTsHX/u15DSJETUaPnlDBFQNsq/u7UhfG&#10;n+kTT03sBJdQKLQCG+NUSBlai06HhZ+QePfjZ6cjj3MnzazPXO5GuUySTDrdE1+wesJXi+3QHJ2C&#10;HT7ZLs/qmr7fZfMhh3oY8lqpx4c0eQER8RL/YLjpszpU7HTwRzJBjAqWWb5hlEOyAsHAanMLBwX5&#10;OgVZlfL/B9UvUEsDBBQAAAAIAIdO4kAHxEOrmwIAACEFAAAOAAAAZHJzL2Uyb0RvYy54bWytVMFu&#10;EzEQvSPxD5bvdJM0SUvUTRUaBSFVtGpAPTteb9aS7TG2N5vyAXwAZyQkLoiP4HMq+AzG3k0bWg49&#10;kMNmxjN+fvM845PTrVZkI5yXYHLaP+hRIgyHQpp1Tt+/W7w4psQHZgqmwIic3ghPT6fPn500diIG&#10;UIEqhCMIYvyksTmtQrCTLPO8Epr5A7DCYLAEp1lA162zwrEG0bXKBr3eOGvAFdYBF97j6rwN0g7R&#10;PQUQylJyMQdea2FCi+qEYgFL8pW0nk4T27IUPFyUpReBqJxipSF98RC0V/GbTU/YZO2YrSTvKLCn&#10;UHhQk2bS4KF3UHMWGKmdfASlJXfgoQwHHHTWFpIUwSr6vQfaLCtmRaoFpfb2TnT//2D5282lI7LI&#10;6ZgSwzRe+O2XT7+/f/719cftz29kHBVqrJ9g4tJeus7zaMZyt6XT8R8LIduk6s2dqmIbCMfFQW94&#10;POqj4Bxjh+PR0TjJnt3vts6H1wI0iUZOHdSmuMKrS4qyzbkPeCzm7/LiiR6ULBZSqeS49epMObJh&#10;eM3DxXH/1Tzyxi1/pSmDi2wiUl8gamJeB+GWVdGQlardFUMlhj38UVLISGZw2DnYNKMUwZCDcC1D&#10;le4n1vuIQ0RAjLjOlK1Yy+xwFBc7Yi3lRBJ2HJK3Ry+LyrdaRytsV1vcHc0VFDd4cUgkqe4tX0gU&#10;75z5cMkctjCyxCEPF/gpFTQ5hc6ipAL38V/rMR87C6OUNDgSOfUfauYEJeqNwZ572R8OETYkZzg6&#10;GkQl9iOr/Yip9RngdfTxObE8mTE/qJ1ZOtDX+BbM4qkYYobj2Tnlwe2cs9COKr4mXMxmKQ3nxrJw&#10;bpaWR/AosYFZHaCUqU3u1UE1o4OTk3TtpjyO5r6fsu5ft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sOiMNcAAAAJAQAADwAAAAAAAAABACAAAAAiAAAAZHJzL2Rvd25yZXYueG1sUEsBAhQAFAAA&#10;AAgAh07iQAfEQ6ubAgAAIQUAAA4AAAAAAAAAAQAgAAAAJgEAAGRycy9lMm9Eb2MueG1sUEsFBgAA&#10;AAAGAAYAWQEAADMGAAAAAA==&#10;">
                <v:fill on="t" focussize="0,0"/>
                <v:stroke on="f"/>
                <v:imagedata o:title=""/>
                <o:lock v:ext="edit" aspectratio="f"/>
                <v:shadow on="t" color="#000000" opacity="22937f" offset="0pt,1.81102362204724pt" origin="0f,32768f" matrix="65536f,0f,0f,65536f"/>
                <v:textbo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 xml:space="preserve">Schizophrenia</w:t>
                      </w:r>
                    </w:p>
                  </w:txbxContent>
                </v:textbox>
              </v:roundrect>
            </w:pict>
          </mc:Fallback>
        </mc:AlternateContent>
      </w:r>
    </w:p>
    <w:p w14:paraId="1CC22AB1">
      <w:pPr>
        <w:rPr>
          <w:rFonts w:ascii="Times New Roman" w:hAnsi="Times New Roman"/>
          <w:sz w:val="22"/>
        </w:rPr>
      </w:pPr>
    </w:p>
    <w:p w14:paraId="43B75D7E">
      <w:pPr>
        <w:rPr>
          <w:rFonts w:ascii="Times New Roman" w:hAnsi="Times New Roman"/>
          <w:sz w:val="22"/>
        </w:rPr>
      </w:pPr>
    </w:p>
    <w:p w14:paraId="183D9A66">
      <w:r>
        <w:rPr>
          <w:rFonts w:ascii="Times New Roman" w:hAnsi="Times New Roman"/>
          <w:sz w:val="22"/>
        </w:rPr>
        <w:t xml:space="preserve">Description：Schizophrenia is a mental disorder characterized by significant alterations in perception, thoughts, mood, and behavior. Symptoms are described in terms of positive, negative, and cognitive symptoms. The positive symptoms of schizophrenia are the same for any psychosis and are sometimes referred to as psychotic symptoms. These may be present in any of the different psychoses and are often transient, making early diagnosis of schizophrenia problematic. Psychosis noted for the first time in a person who is later diagnosed with schizophrenia is referred to as a first-episode psychosis (FEP).</w:t>
      </w:r>
    </w:p>
    <w:p w14:paraId="106E6481">
      <w:pPr>
        <w:rPr>
          <w:color w:val="0000FF"/>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Drug:</w:t>
      </w:r>
      <w:r>
        <w:rPr>
          <w:rFonts w:ascii="Times New Roman" w:hAnsi="Times New Roman"/>
          <w:b/>
          <w:color w:val="0000FF"/>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1. Antipsychotics</w:t>
      </w:r>
    </w:p>
    <w:p w14:paraId="0A950ECF">
      <w:r>
        <w:rPr>
          <w:rFonts w:ascii="Times New Roman" w:hAnsi="Times New Roman"/>
          <w:sz w:val="22"/>
        </w:rPr>
        <w:t xml:space="preserve">Description：Antipsychotics are most frequently used for the following conditions: Schizophrenia Schizoaffective disorder most commonly in conjunction with either an antidepressant (in the case of the depressive subtype) or a mood stabilizer (in the case of the bipolar subtype). Antipsychotics possess mood stabilizing properties and thus they may be used as standalone medication to treat mood dysregulation. Bipolar disorder (acute mania and mixed episodes) may be treated with either typical or atypical antipsychotics, although atypical antipsychotics are usually preferred because they tend to have more favourable adverse effect profiles and, according to a recent meta-analysis, they tend to have a lower liability for causing conversion from mania to depression. Psychotic depression. In this indication it is a common practice for the psychiatrist to prescribe a combination of an atypical antipsychotic and an antidepressant as this practice is best supported by the evidence.</w:t>
      </w:r>
    </w:p>
    <w:p w14:paraId="7E6D9CE0">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p>
    <w:p w14:paraId="4350E8F7">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 xml:space="preserve">Genetic Guidance for </w:t>
      </w:r>
      <w:r>
        <w:rPr>
          <w:rFonts w:ascii="Times New Roman" w:hAnsi="Times New Roman"/>
          <w:b/>
          <w:sz w:val="22"/>
        </w:rPr>
        <w:t>1. Antipsychotics</w:t>
      </w:r>
      <w:r>
        <w:br/>
      </w:r>
      <w:r>
        <w:rPr>
          <w:rFonts w:ascii="Times New Roman" w:hAnsi="Times New Roman"/>
          <w:b/>
          <w:color w:val="FF0000"/>
          <w:sz w:val="22"/>
        </w:rPr>
        <w:t>❓ Not clinically actionable</w:t>
      </w:r>
    </w:p>
    <w:p w14:paraId="1A1D54A6">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r>
        <w:rPr>
          <w:rFonts w:ascii="Times New Roman" w:hAnsi="Times New Roman"/>
          <w:b/>
          <w:sz w:val="22"/>
        </w:rPr>
        <w:br w:type="textWrapping"/>
      </w:r>
    </w:p>
    <w:p w14:paraId="55F0998B">
      <w:pPr>
        <w:rPr>
          <w:rFonts w:ascii="Times New Roman" w:hAnsi="Times New Roman"/>
          <w:sz w:val="22"/>
        </w:rPr>
      </w:pPr>
      <w:r>
        <w:rPr>
          <w:rFonts w:ascii="Times New Roman" w:hAnsi="Times New Roman"/>
          <w:sz w:val="22"/>
        </w:rPr>
        <w:t xml:space="preserve">We have analyzed the</w:t>
      </w:r>
      <w:r>
        <w:rPr>
          <w:rFonts w:ascii="Times New Roman" w:hAnsi="Times New Roman"/>
          <w:color w:val="0070C0"/>
          <w:sz w:val="22"/>
        </w:rPr>
        <w:t xml:space="preserve"> rs4680 </w:t>
      </w:r>
      <w:r>
        <w:rPr>
          <w:rFonts w:ascii="Times New Roman" w:hAnsi="Times New Roman"/>
          <w:sz w:val="22"/>
        </w:rPr>
        <w:t xml:space="preserve">locus of your</w:t>
      </w:r>
      <w:r>
        <w:rPr>
          <w:rFonts w:ascii="Times New Roman" w:hAnsi="Times New Roman"/>
          <w:color w:val="0070C0"/>
          <w:sz w:val="22"/>
        </w:rPr>
        <w:t xml:space="preserve"> COMT</w:t>
      </w:r>
      <w:r>
        <w:rPr>
          <w:rFonts w:ascii="Times New Roman" w:hAnsi="Times New Roman"/>
          <w:sz w:val="22"/>
        </w:rPr>
        <w:t xml:space="preserve"> gene. Your genotype is determined to be</w:t>
      </w:r>
      <w:r>
        <w:rPr>
          <w:rFonts w:ascii="Times New Roman" w:hAnsi="Times New Roman"/>
          <w:color w:val="0070C0"/>
          <w:sz w:val="22"/>
        </w:rPr>
        <w:t xml:space="preserve"> AA. </w:t>
      </w:r>
      <w:r>
        <w:rPr>
          <w:rFonts w:ascii="Times New Roman" w:hAnsi="Times New Roman"/>
          <w:sz w:val="22"/>
        </w:rPr>
        <w:t xml:space="preserve">Patients with the AA genotype and Schizophrenia who are treated with antipsychotics may have increased methylation at sites within the COMT gene promoter as compared to patients with the GG genotype. Metabolic syndrome was also associated with increased methylation. No significant difference was seen in levels of methylation of the COMT gene promoter in patients with or without metabolic syndrome with the AA genotype. Other genetic and clinical factors may also influence a patient's level of methylation of the COMT gene promoter when treated with antipsychotics..</w:t>
      </w:r>
    </w:p>
    <w:p w14:paraId="13629AE2">
      <w:pPr>
        <w:rPr>
          <w:rFonts w:ascii="Times New Roman" w:hAnsi="Times New Roman"/>
          <w:sz w:val="22"/>
        </w:rPr>
      </w:pPr>
    </w:p>
    <w:p w14:paraId="783C3527">
      <w:pPr>
        <w:pStyle w:val="4"/>
        <w:jc w:val="cente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My Genetic Result Details</w:t>
      </w:r>
    </w:p>
    <w:p w14:paraId="25F72D2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2028"/>
        <w:gridCol w:w="1806"/>
        <w:gridCol w:w="2088"/>
        <w:gridCol w:w="1986"/>
      </w:tblGrid>
      <w:tr w14:paraId="25D7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2F5496"/>
          </w:tcPr>
          <w:p w14:paraId="773B1D3C">
            <w:pPr>
              <w:spacing w:after="0" w:line="240" w:lineRule="auto"/>
            </w:pPr>
            <w:r>
              <w:rPr>
                <w:rFonts w:ascii="Times New Roman" w:hAnsi="Times New Roman"/>
                <w:color w:val="FFFFFF"/>
                <w:sz w:val="22"/>
              </w:rPr>
              <w:t>Gene</w:t>
            </w:r>
          </w:p>
        </w:tc>
        <w:tc>
          <w:tcPr>
            <w:tcW w:w="1728" w:type="dxa"/>
            <w:shd w:val="clear" w:color="auto" w:fill="2F5496"/>
          </w:tcPr>
          <w:p w14:paraId="7692F446">
            <w:pPr>
              <w:spacing w:after="0" w:line="240" w:lineRule="auto"/>
            </w:pPr>
            <w:r>
              <w:rPr>
                <w:rFonts w:ascii="Times New Roman" w:hAnsi="Times New Roman"/>
                <w:color w:val="FFFFFF"/>
                <w:sz w:val="22"/>
              </w:rPr>
              <w:t>Variant</w:t>
            </w:r>
          </w:p>
        </w:tc>
        <w:tc>
          <w:tcPr>
            <w:tcW w:w="1728" w:type="dxa"/>
            <w:shd w:val="clear" w:color="auto" w:fill="2F5496"/>
          </w:tcPr>
          <w:p w14:paraId="566D09AF">
            <w:pPr>
              <w:spacing w:after="0" w:line="240" w:lineRule="auto"/>
            </w:pPr>
            <w:r>
              <w:rPr>
                <w:rFonts w:ascii="Times New Roman" w:hAnsi="Times New Roman"/>
                <w:color w:val="FFFFFF"/>
                <w:sz w:val="22"/>
              </w:rPr>
              <w:t>Genotype</w:t>
            </w:r>
          </w:p>
        </w:tc>
        <w:tc>
          <w:tcPr>
            <w:tcW w:w="1728" w:type="dxa"/>
            <w:shd w:val="clear" w:color="auto" w:fill="2F5496"/>
          </w:tcPr>
          <w:p w14:paraId="5661BECC">
            <w:pPr>
              <w:spacing w:after="0" w:line="240" w:lineRule="auto"/>
            </w:pPr>
            <w:r>
              <w:rPr>
                <w:rFonts w:ascii="Times New Roman" w:hAnsi="Times New Roman"/>
                <w:color w:val="FFFFFF"/>
                <w:sz w:val="22"/>
              </w:rPr>
              <w:t>Phenotype Category</w:t>
            </w:r>
          </w:p>
        </w:tc>
        <w:tc>
          <w:tcPr>
            <w:tcW w:w="1728" w:type="dxa"/>
            <w:shd w:val="clear" w:color="auto" w:fill="2F5496"/>
          </w:tcPr>
          <w:p w14:paraId="2B87980C">
            <w:pPr>
              <w:spacing w:after="0" w:line="240" w:lineRule="auto"/>
            </w:pPr>
            <w:r>
              <w:rPr>
                <w:rFonts w:ascii="Times New Roman" w:hAnsi="Times New Roman"/>
                <w:color w:val="FFFFFF"/>
                <w:sz w:val="22"/>
              </w:rPr>
              <w:t>Level of Evidence</w:t>
            </w:r>
          </w:p>
        </w:tc>
      </w:tr>
      <w:tr w14:paraId="7B22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1D21EF">
            <w:pPr>
              <w:spacing w:after="0" w:line="240" w:lineRule="auto"/>
            </w:pPr>
            <w:r>
              <w:rPr>
                <w:rFonts w:ascii="Times New Roman" w:hAnsi="Times New Roman"/>
                <w:sz w:val="22"/>
              </w:rPr>
              <w:t xml:space="preserve">COMT</w:t>
            </w:r>
          </w:p>
        </w:tc>
        <w:tc>
          <w:tcPr>
            <w:tcW w:w="1728" w:type="dxa"/>
          </w:tcPr>
          <w:p w14:paraId="634E60F8">
            <w:pPr>
              <w:spacing w:after="0" w:line="240" w:lineRule="auto"/>
            </w:pPr>
            <w:r>
              <w:rPr>
                <w:rFonts w:ascii="Times New Roman" w:hAnsi="Times New Roman"/>
                <w:sz w:val="22"/>
              </w:rPr>
              <w:t xml:space="preserve">rs4680</w:t>
            </w:r>
          </w:p>
        </w:tc>
        <w:tc>
          <w:tcPr>
            <w:tcW w:w="1728" w:type="dxa"/>
          </w:tcPr>
          <w:p w14:paraId="6D05F2FE">
            <w:pPr>
              <w:spacing w:after="0" w:line="240" w:lineRule="auto"/>
            </w:pPr>
            <w:r>
              <w:rPr>
                <w:rFonts w:ascii="Times New Roman" w:hAnsi="Times New Roman"/>
                <w:sz w:val="22"/>
              </w:rPr>
              <w:t xml:space="preserve">AA</w:t>
            </w:r>
          </w:p>
        </w:tc>
        <w:tc>
          <w:tcPr>
            <w:tcW w:w="1728" w:type="dxa"/>
          </w:tcPr>
          <w:p w14:paraId="38CA6CD4">
            <w:pPr>
              <w:spacing w:after="0" w:line="240" w:lineRule="auto"/>
            </w:pPr>
            <w:r>
              <w:rPr>
                <w:rFonts w:ascii="Times New Roman" w:hAnsi="Times New Roman"/>
                <w:sz w:val="22"/>
              </w:rPr>
              <w:t xml:space="preserve">Other</w:t>
            </w:r>
          </w:p>
        </w:tc>
        <w:tc>
          <w:tcPr>
            <w:tcW w:w="1728" w:type="dxa"/>
          </w:tcPr>
          <w:p w14:paraId="743AACC0">
            <w:pPr>
              <w:spacing w:after="0" w:line="240" w:lineRule="auto"/>
            </w:pPr>
            <w:r>
              <w:rPr>
                <w:rFonts w:ascii="Times New Roman" w:hAnsi="Times New Roman"/>
                <w:sz w:val="22"/>
              </w:rPr>
              <w:t xml:space="preserve">3</w:t>
            </w:r>
          </w:p>
        </w:tc>
      </w:tr>
    </w:tbl>
    <w:p w14:paraId="63B26187">
      <w:r>
        <w:rPr>
          <w:rFonts w:ascii="Times New Roman" w:hAnsi="Times New Roman"/>
          <w:b/>
          <w:color w:val="000000"/>
          <w:sz w:val="18"/>
        </w:rPr>
        <w:t>* Level of Evidence：1A：Highest reliability；1B: Strong evidence；2A: Moderate reliability with enhanced pharmacogenetic focus ; 2B: Moderate evidence; 3: Emerging evidence; 4: Minimal to no evidence.</w:t>
      </w:r>
    </w:p>
    <w:p w14:paraId="0D5328BF">
      <w:pPr>
        <w:pStyle w:val="4"/>
        <w:jc w:val="left"/>
        <w:rPr>
          <w:rFonts w:ascii="Times New Roman" w:hAnsi="Times New Roman"/>
          <w:b/>
          <w:color w:val="000000"/>
          <w:sz w:val="28"/>
        </w:rPr>
      </w:pPr>
    </w:p>
    <w:p w14:paraId="6DCCAE92">
      <w:pPr>
        <w:pStyle w:val="4"/>
        <w:jc w:val="left"/>
      </w:pPr>
      <w:r>
        <w:rPr>
          <w:rFonts w:ascii="Times New Roman" w:hAnsi="Times New Roman"/>
          <w:b/>
          <w:color w:val="000000"/>
          <w:sz w:val="28"/>
        </w:rPr>
        <w:t>How to use the test results</w:t>
      </w:r>
    </w:p>
    <w:p w14:paraId="4A8C25FB">
      <w:pPr>
        <w:pStyle w:val="4"/>
        <w:jc w:val="left"/>
      </w:pPr>
      <w:r>
        <w:rPr>
          <w:rFonts w:ascii="Times New Roman" w:hAnsi="Times New Roman"/>
          <w:b/>
          <w:color w:val="000000"/>
          <w:sz w:val="24"/>
        </w:rPr>
        <w:t>Notification</w:t>
      </w:r>
    </w:p>
    <w:p w14:paraId="1420DBF4">
      <w:r>
        <w:rPr>
          <w:rFonts w:ascii="Times New Roman" w:hAnsi="Times New Roman"/>
          <w:sz w:val="22"/>
        </w:rPr>
        <w:t>The test does not yet have the qualifications for clinical diagnosis. The test results and medication recommendations provided are for reference only and cannot be directly used as the basis for clinical medication. If you have relevant medication needs, you can consult authoritative clinicians or professionals based on the results of this genetic test to obtain professional medication recommendations or follow the doctor's advice for clinically qualified inspection and test.</w:t>
      </w:r>
    </w:p>
    <w:p w14:paraId="64535D15">
      <w:pPr>
        <w:pStyle w:val="4"/>
        <w:jc w:val="left"/>
      </w:pPr>
      <w:r>
        <w:rPr>
          <w:rFonts w:ascii="Times New Roman" w:hAnsi="Times New Roman"/>
          <w:b/>
          <w:color w:val="000000"/>
          <w:sz w:val="24"/>
        </w:rPr>
        <w:t>Test content</w:t>
      </w:r>
    </w:p>
    <w:p w14:paraId="00C5FE89">
      <w:pPr>
        <w:rPr>
          <w:rFonts w:ascii="Times New Roman" w:hAnsi="Times New Roman"/>
          <w:sz w:val="22"/>
        </w:rPr>
      </w:pPr>
      <w:r>
        <w:rPr>
          <w:rFonts w:ascii="Times New Roman" w:hAnsi="Times New Roman"/>
          <w:sz w:val="22"/>
        </w:rPr>
        <w:t>Different genetic test versions and data sources may have different coverage of the above variants.</w:t>
      </w:r>
    </w:p>
    <w:p w14:paraId="73827B66">
      <w:pPr>
        <w:pStyle w:val="4"/>
        <w:jc w:val="left"/>
      </w:pPr>
      <w:r>
        <w:rPr>
          <w:rFonts w:ascii="Times New Roman" w:hAnsi="Times New Roman"/>
          <w:b/>
          <w:color w:val="000000"/>
          <w:sz w:val="24"/>
        </w:rPr>
        <w:t>Limit of detection</w:t>
      </w:r>
    </w:p>
    <w:p w14:paraId="444E6CA2">
      <w:r>
        <w:rPr>
          <w:rFonts w:ascii="Times New Roman" w:hAnsi="Times New Roman"/>
          <w:sz w:val="22"/>
        </w:rPr>
        <w:t>Test results are limited by the current technology and the level of scientific cognition. Depends on product package purchased, the test report may not cover all genes or loci related in each drug response. The accuracy of existing scientific research and the inherent detection error rate associated with the type of detection you purchase may also affect the accuracy of the interpretation of the item.</w:t>
      </w:r>
    </w:p>
    <w:p w14:paraId="76AB898E">
      <w:pPr>
        <w:rPr>
          <w:rFonts w:ascii="Times New Roman" w:hAnsi="Times New Roman"/>
          <w:sz w:val="22"/>
        </w:rPr>
      </w:pPr>
      <w:bookmarkStart w:id="4" w:name="_GoBack"/>
      <w:bookmarkEnd w:id="4"/>
    </w:p>
    <w:p w14:paraId="15AEC78B">
      <w:pPr>
        <w:rPr>
          <w:rFonts w:ascii="Times New Roman" w:hAnsi="Times New Roman"/>
          <w:sz w:val="22"/>
        </w:rPr>
      </w:pPr>
    </w:p>
    <w:p w14:paraId="115E6E25">
      <w:pPr>
        <w:rPr>
          <w:rFonts w:ascii="Times New Roman" w:hAnsi="Times New Roman"/>
          <w:sz w:val="22"/>
        </w:rPr>
      </w:pPr>
    </w:p>
    <w:sectPr>
      <w:headerReference r:id="rId5" w:type="default"/>
      <w:footerReference r:id="rId6" w:type="default"/>
      <w:pgSz w:w="12240" w:h="15840"/>
      <w:pgMar w:top="1837" w:right="1800" w:bottom="1837" w:left="1800" w:header="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方正赵孟頫楷书 简繁"/>
    <w:panose1 w:val="00000000000000000000"/>
    <w:charset w:val="80"/>
    <w:family w:val="roman"/>
    <w:pitch w:val="default"/>
    <w:sig w:usb0="00000000" w:usb1="00000000" w:usb2="00000010" w:usb3="00000000" w:csb0="00020000" w:csb1="00000000"/>
  </w:font>
  <w:font w:name="方正赵孟頫楷书 简繁">
    <w:panose1 w:val="02000500000000000000"/>
    <w:charset w:val="80"/>
    <w:family w:val="auto"/>
    <w:pitch w:val="default"/>
    <w:sig w:usb0="A00002BF" w:usb1="18CF7CFA" w:usb2="00000016" w:usb3="00000000" w:csb0="40020001" w:csb1="C0D6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algun Gothic">
    <w:panose1 w:val="020B0503020000020004"/>
    <w:charset w:val="81"/>
    <w:family w:val="auto"/>
    <w:pitch w:val="default"/>
    <w:sig w:usb0="9000002F" w:usb1="29D77CFB" w:usb2="00000012" w:usb3="00000000" w:csb0="00080001" w:csb1="00000000"/>
  </w:font>
  <w:font w:name="ＭＳ 明朝">
    <w:altName w:val="方正赵孟頫楷书 简繁"/>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汉仪楷体简">
    <w:altName w:val="宋体"/>
    <w:panose1 w:val="020106000001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F80C">
    <w:pPr>
      <w:pStyle w:val="24"/>
      <w:rPr>
        <w:rFonts w:hint="eastAsia"/>
        <w:sz w:val="13"/>
        <w:szCs w:val="13"/>
      </w:rPr>
    </w:pPr>
    <w:r>
      <w:rPr>
        <w:rFonts w:hint="eastAsia"/>
        <w:sz w:val="13"/>
        <w:szCs w:val="13"/>
      </w:rPr>
      <w:t xml:space="preserve">EboGenes Lab address: </w:t>
    </w:r>
  </w:p>
  <w:p w14:paraId="62C83FF7">
    <w:pPr>
      <w:pStyle w:val="24"/>
      <w:rPr>
        <w:rFonts w:hint="eastAsia"/>
        <w:sz w:val="13"/>
        <w:szCs w:val="13"/>
      </w:rPr>
    </w:pPr>
    <w:r>
      <w:rPr>
        <w:rFonts w:hint="eastAsia"/>
        <w:sz w:val="13"/>
        <w:szCs w:val="13"/>
      </w:rPr>
      <w:t xml:space="preserve">500, Boulevard Cartier Ouest, </w:t>
    </w:r>
  </w:p>
  <w:p w14:paraId="6D2D6D38">
    <w:pPr>
      <w:pStyle w:val="24"/>
      <w:rPr>
        <w:rFonts w:hint="eastAsia"/>
        <w:sz w:val="13"/>
        <w:szCs w:val="13"/>
      </w:rPr>
    </w:pPr>
    <w:r>
      <w:rPr>
        <w:rFonts w:hint="eastAsia"/>
        <w:sz w:val="13"/>
        <w:szCs w:val="13"/>
      </w:rPr>
      <w:t xml:space="preserve">Suite 222, Laval (Québec), Canada, H7V 5B7 </w:t>
    </w:r>
  </w:p>
  <w:p w14:paraId="2E04E9BC">
    <w:pPr>
      <w:pStyle w:val="24"/>
      <w:rPr>
        <w:rFonts w:hint="eastAsia"/>
        <w:sz w:val="13"/>
        <w:szCs w:val="13"/>
      </w:rPr>
    </w:pPr>
    <w:r>
      <w:rPr>
        <w:rFonts w:hint="eastAsia"/>
        <w:sz w:val="13"/>
        <w:szCs w:val="13"/>
      </w:rPr>
      <w:t xml:space="preserve">tel: +1 450-688-8377 ext. 2209 </w:t>
    </w:r>
  </w:p>
  <w:p w14:paraId="49074423">
    <w:pPr>
      <w:pStyle w:val="24"/>
    </w:pPr>
    <w:r>
      <w:rPr>
        <w:rFonts w:hint="eastAsia"/>
        <w:sz w:val="13"/>
        <w:szCs w:val="13"/>
      </w:rPr>
      <w:t>www.ebogenes.com</w:t>
    </w: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C6FF7">
                          <w:pPr>
                            <w:pStyle w:val="2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94C6FF7">
                    <w:pPr>
                      <w:pStyle w:val="2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r>
      <w:rPr>
        <w:rFonts w:hint="eastAsia" w:eastAsiaTheme="minorEastAsia"/>
        <w:lang w:eastAsia="zh-CN"/>
      </w:rPr>
      <w:drawing>
        <wp:anchor distT="0" distB="0" distL="114300" distR="114300" simplePos="0" relativeHeight="251660288" behindDoc="1" locked="0" layoutInCell="1" allowOverlap="1">
          <wp:simplePos x="0" y="0"/>
          <wp:positionH relativeFrom="page">
            <wp:align>center</wp:align>
          </wp:positionH>
          <wp:positionV relativeFrom="page">
            <wp:align>bottom</wp:align>
          </wp:positionV>
          <wp:extent cx="15534640" cy="360045"/>
          <wp:effectExtent l="0" t="0" r="10160" b="1905"/>
          <wp:wrapNone/>
          <wp:docPr id="7" name="图片 2" descr="资源 4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资源 44_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5534640" cy="360045"/>
                  </a:xfrm>
                  <a:prstGeom prst="rect">
                    <a:avLst/>
                  </a:prstGeom>
                </pic:spPr>
              </pic:pic>
            </a:graphicData>
          </a:graphic>
          <wp14:sizeRelH relativeFrom="page">
            <wp14:pctWidth>100000</wp14:pctWidth>
          </wp14:sizeRelH>
          <wp14:sizeRelV relativeFrom="page">
            <wp14:pctHeight>0</wp14:pctHeight>
          </wp14:sizeRelV>
        </wp:anchor>
      </w:drawing>
    </w:r>
  </w:p>
  <w:p w14:paraId="356F489C">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70A26">
    <w:pPr>
      <w:pStyle w:val="25"/>
      <w:ind w:left="-1800" w:leftChars="-818" w:firstLine="0" w:firstLineChars="0"/>
      <w:rPr>
        <w:rFonts w:hint="default"/>
        <w:lang w:val="en-US"/>
      </w:rPr>
    </w:pPr>
    <w:r>
      <w:rPr>
        <w:rFonts w:hint="eastAsia"/>
        <w:lang w:val="en-US" w:eastAsia="zh-CN"/>
        <w14:textFill>
          <w14:gradFill>
            <w14:gsLst>
              <w14:gs w14:pos="51300">
                <w14:srgbClr w14:val="4888CF"/>
              </w14:gs>
              <w14:gs w14:pos="0">
                <w14:srgbClr w14:val="95D2FF"/>
              </w14:gs>
              <w14:gs w14:pos="95000">
                <w14:srgbClr w14:val="3965A3"/>
              </w14:gs>
            </w14:gsLst>
            <w14:lin w14:ang="5400000" w14:scaled="1"/>
          </w14:gradFill>
        </w14:textFill>
      </w:rPr>
      <w:drawing>
        <wp:anchor distT="0" distB="0" distL="114300" distR="114300" simplePos="0" relativeHeight="251662336" behindDoc="1" locked="0" layoutInCell="1" allowOverlap="1">
          <wp:simplePos x="0" y="0"/>
          <wp:positionH relativeFrom="column">
            <wp:posOffset>4652645</wp:posOffset>
          </wp:positionH>
          <wp:positionV relativeFrom="paragraph">
            <wp:posOffset>790575</wp:posOffset>
          </wp:positionV>
          <wp:extent cx="735965" cy="408940"/>
          <wp:effectExtent l="0" t="0" r="6985" b="0"/>
          <wp:wrapThrough wrapText="bothSides">
            <wp:wrapPolygon>
              <wp:start x="1118" y="4159"/>
              <wp:lineTo x="0" y="7278"/>
              <wp:lineTo x="0" y="12477"/>
              <wp:lineTo x="1677" y="17676"/>
              <wp:lineTo x="5591" y="17676"/>
              <wp:lineTo x="21246" y="13517"/>
              <wp:lineTo x="21246" y="6239"/>
              <wp:lineTo x="5591" y="4159"/>
              <wp:lineTo x="1118" y="4159"/>
            </wp:wrapPolygon>
          </wp:wrapThrough>
          <wp:docPr id="8" name="图片 52" descr="默认标题__2025-02-26+00_38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2" descr="默认标题__2025-02-26+00_38_59"/>
                  <pic:cNvPicPr>
                    <a:picLocks noChangeAspect="1"/>
                  </pic:cNvPicPr>
                </pic:nvPicPr>
                <pic:blipFill>
                  <a:blip r:embed="rId1"/>
                  <a:stretch>
                    <a:fillRect/>
                  </a:stretch>
                </pic:blipFill>
                <pic:spPr>
                  <a:xfrm>
                    <a:off x="0" y="0"/>
                    <a:ext cx="735965" cy="408940"/>
                  </a:xfrm>
                  <a:prstGeom prst="rect">
                    <a:avLst/>
                  </a:prstGeom>
                </pic:spPr>
              </pic:pic>
            </a:graphicData>
          </a:graphic>
        </wp:anchor>
      </w:drawing>
    </w:r>
    <w:r>
      <w:rPr>
        <w:rFonts w:hint="eastAsia"/>
        <w:lang w:val="en-US" w:eastAsia="zh-CN"/>
        <w14:textFill>
          <w14:gradFill>
            <w14:gsLst>
              <w14:gs w14:pos="51300">
                <w14:srgbClr w14:val="4888CF"/>
              </w14:gs>
              <w14:gs w14:pos="0">
                <w14:srgbClr w14:val="95D2FF"/>
              </w14:gs>
              <w14:gs w14:pos="95000">
                <w14:srgbClr w14:val="3965A3"/>
              </w14:gs>
            </w14:gsLst>
            <w14:lin w14:ang="5400000" w14:scaled="1"/>
          </w14:gradFill>
        </w14:textFill>
      </w:rPr>
      <w:drawing>
        <wp:anchor distT="0" distB="0" distL="114300" distR="114300" simplePos="0" relativeHeight="251663360" behindDoc="1" locked="0" layoutInCell="1" allowOverlap="1">
          <wp:simplePos x="0" y="0"/>
          <wp:positionH relativeFrom="column">
            <wp:posOffset>-41275</wp:posOffset>
          </wp:positionH>
          <wp:positionV relativeFrom="paragraph">
            <wp:posOffset>522605</wp:posOffset>
          </wp:positionV>
          <wp:extent cx="613410" cy="613410"/>
          <wp:effectExtent l="0" t="0" r="15240" b="15240"/>
          <wp:wrapThrough wrapText="bothSides">
            <wp:wrapPolygon>
              <wp:start x="5366" y="671"/>
              <wp:lineTo x="0" y="4696"/>
              <wp:lineTo x="0" y="19453"/>
              <wp:lineTo x="7379" y="20795"/>
              <wp:lineTo x="13416" y="20795"/>
              <wp:lineTo x="16099" y="20795"/>
              <wp:lineTo x="20795" y="14758"/>
              <wp:lineTo x="20795" y="6708"/>
              <wp:lineTo x="17441" y="1342"/>
              <wp:lineTo x="14087" y="671"/>
              <wp:lineTo x="5366" y="671"/>
            </wp:wrapPolygon>
          </wp:wrapThrough>
          <wp:docPr id="9" name="图片 51" descr="ebogenes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1" descr="ebogenes抠图"/>
                  <pic:cNvPicPr>
                    <a:picLocks noChangeAspect="1"/>
                  </pic:cNvPicPr>
                </pic:nvPicPr>
                <pic:blipFill>
                  <a:blip r:embed="rId2"/>
                  <a:stretch>
                    <a:fillRect/>
                  </a:stretch>
                </pic:blipFill>
                <pic:spPr>
                  <a:xfrm>
                    <a:off x="0" y="0"/>
                    <a:ext cx="613410" cy="613410"/>
                  </a:xfrm>
                  <a:prstGeom prst="rect">
                    <a:avLst/>
                  </a:prstGeom>
                </pic:spPr>
              </pic:pic>
            </a:graphicData>
          </a:graphic>
        </wp:anchor>
      </w:drawing>
    </w:r>
    <w:r>
      <w:rPr>
        <w:rFonts w:hint="default"/>
        <w:lang w:val="en-US"/>
      </w:rPr>
      <w:drawing>
        <wp:inline distT="0" distB="0" distL="114300" distR="114300">
          <wp:extent cx="9275445" cy="864235"/>
          <wp:effectExtent l="0" t="0" r="1905" b="12065"/>
          <wp:docPr id="10" name="图片 5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3" descr="图片1"/>
                  <pic:cNvPicPr>
                    <a:picLocks noChangeAspect="1"/>
                  </pic:cNvPicPr>
                </pic:nvPicPr>
                <pic:blipFill>
                  <a:blip r:embed="rId3"/>
                  <a:stretch>
                    <a:fillRect/>
                  </a:stretch>
                </pic:blipFill>
                <pic:spPr>
                  <a:xfrm>
                    <a:off x="0" y="0"/>
                    <a:ext cx="9275445" cy="864235"/>
                  </a:xfrm>
                  <a:prstGeom prst="rect">
                    <a:avLst/>
                  </a:prstGeom>
                </pic:spPr>
              </pic:pic>
            </a:graphicData>
          </a:graphic>
        </wp:inline>
      </w:drawing>
    </w:r>
    <w:r>
      <w:rPr>
        <w:rFonts w:hint="eastAsia"/>
        <w:lang w:val="en-US" w:eastAsia="zh-CN"/>
        <w14:textFill>
          <w14:gradFill>
            <w14:gsLst>
              <w14:gs w14:pos="51300">
                <w14:srgbClr w14:val="4888CF"/>
              </w14:gs>
              <w14:gs w14:pos="0">
                <w14:srgbClr w14:val="95D2FF"/>
              </w14:gs>
              <w14:gs w14:pos="95000">
                <w14:srgbClr w14:val="3965A3"/>
              </w14:gs>
            </w14:gsLst>
            <w14:lin w14:ang="5400000" w14:scaled="1"/>
          </w14:gradFill>
        </w14:textFill>
      </w:rPr>
      <w:t xml:space="preserve">                                                                                                                                                                     </w:t>
    </w:r>
    <w:r>
      <w:rPr>
        <w:rFonts w:hint="default" w:eastAsia="Malgun Gothic" w:cs="Malgun Gothic" w:asciiTheme="majorAscii" w:hAnsiTheme="majorAscii"/>
        <w:lang w:val="en-US" w:eastAsia="zh-CN"/>
        <w14:textFill>
          <w14:gradFill>
            <w14:gsLst>
              <w14:gs w14:pos="51300">
                <w14:srgbClr w14:val="4888CF"/>
              </w14:gs>
              <w14:gs w14:pos="0">
                <w14:srgbClr w14:val="95D2FF"/>
              </w14:gs>
              <w14:gs w14:pos="95000">
                <w14:srgbClr w14:val="3965A3"/>
              </w14:gs>
            </w14:gsLst>
            <w14:lin w14:ang="5400000" w14:scaled="1"/>
          </w14:gradFill>
        </w14:textFill>
      </w:rPr>
      <w:t>Powered by: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086668"/>
    <w:rsid w:val="527E2139"/>
    <w:rsid w:val="5B9D2D2E"/>
    <w:rsid w:val="7A4B62B3"/>
    <w:rsid w:val="7C3256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242</Words>
  <Characters>1453</Characters>
  <Lines>0</Lines>
  <Paragraphs>0</Paragraphs>
  <TotalTime>0</TotalTime>
  <ScaleCrop>false</ScaleCrop>
  <LinksUpToDate>false</LinksUpToDate>
  <CharactersWithSpaces>1659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常杰雅</cp:lastModifiedBy>
  <dcterms:modified xsi:type="dcterms:W3CDTF">2025-08-04T18:59:25Z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eyJoZGlkIjoiYTNkMDU2OGM3NGY0NDVmMWFkY2ExZjZjZWIzZTU5OWQiLCJ1c2VySWQiOiI0MzE1MDc5MjYifQ==</vt:lpwstr>
  </property>
  <property fmtid="{D5CDD505-2E9C-101B-9397-08002B2CF9AE}" pid="3" name="KSOProductBuildVer">
    <vt:lpwstr>2052-12.1.0.21915</vt:lpwstr>
  </property>
  <property fmtid="{D5CDD505-2E9C-101B-9397-08002B2CF9AE}" pid="4" name="ICV">
    <vt:lpwstr>87AAC3341A314F2A920B7428795518C4_13</vt:lpwstr>
  </property>
</Properties>
</file>