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D0B95">
      <w:r>
        <w:rPr>
          <w:sz w:val="22"/>
        </w:rPr>
        <mc:AlternateContent>
          <mc:Choice Requires="wps">
            <w:drawing>
              <wp:anchor distT="0" distB="0" distL="114300" distR="114300" simplePos="0" relativeHeight="251659264" behindDoc="0" locked="0" layoutInCell="1" allowOverlap="1">
                <wp:simplePos x="0" y="0"/>
                <wp:positionH relativeFrom="column">
                  <wp:posOffset>1701165</wp:posOffset>
                </wp:positionH>
                <wp:positionV relativeFrom="paragraph">
                  <wp:posOffset>130175</wp:posOffset>
                </wp:positionV>
                <wp:extent cx="2048510" cy="365760"/>
                <wp:effectExtent l="33655" t="10795" r="51435" b="61595"/>
                <wp:wrapNone/>
                <wp:docPr id="6" name="圆角矩形 6"/>
                <wp:cNvGraphicFramePr/>
                <a:graphic xmlns:a="http://schemas.openxmlformats.org/drawingml/2006/main">
                  <a:graphicData uri="http://schemas.microsoft.com/office/word/2010/wordprocessingShape">
                    <wps:wsp>
                      <wps:cNvSpPr/>
                      <wps:spPr>
                        <a:xfrm>
                          <a:off x="0" y="0"/>
                          <a:ext cx="2048510" cy="365760"/>
                        </a:xfrm>
                        <a:prstGeom prst="roundRect">
                          <a:avLst/>
                        </a:prstGeom>
                      </wps:spPr>
                      <wps:style>
                        <a:lnRef idx="0">
                          <a:srgbClr val="FFFFFF"/>
                        </a:lnRef>
                        <a:fillRef idx="1">
                          <a:schemeClr val="accent1"/>
                        </a:fillRef>
                        <a:effectRef idx="2">
                          <a:schemeClr val="accent1"/>
                        </a:effectRef>
                        <a:fontRef idx="minor">
                          <a:schemeClr val="lt1"/>
                        </a:fontRef>
                      </wps:style>
                      <wps:txb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{{Phenotype}}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95pt;margin-top:10.25pt;height:28.8pt;width:161.3pt;z-index:251659264;v-text-anchor:middle;mso-width-relative:page;mso-height-relative:page;" fillcolor="#4F81BD [3204]" filled="t" stroked="f" coordsize="21600,21600" arcsize="0.166666666666667" o:gfxdata="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sOiMNcAAAAJAQAADwAAAAAAAAABACAAAAAiAAAAZHJzL2Rvd25yZXYueG1sUEsBAhQAFAAA&#10;AAgAh07iQAfEQ6ubAgAAIQUAAA4AAAAAAAAAAQAgAAAAJgEAAGRycy9lMm9Eb2MueG1sUEsFBgAA&#10;AAAGAAYAWQEAADMGAAAAAA==&#10;">
                <v:fill on="t" focussize="0,0"/>
                <v:stroke on="f"/>
                <v:imagedata o:title=""/>
                <o:lock v:ext="edit" aspectratio="f"/>
                <v:shadow on="t" color="#000000" opacity="22937f" offset="0pt,1.81102362204724pt" origin="0f,32768f" matrix="65536f,0f,0f,65536f"/>
                <v:textbox>
                  <w:txbxContent>
                    <w:p w14:paraId="28A3241A">
                      <w:pPr>
                        <w:jc w:val="center"/>
                        <w:rPr>
                          <w:rFonts w:hint="default" w:eastAsia="宋体"/>
                          <w:b/>
                          <w:bCs/>
                          <w:color w:val="FFFFFF" w:themeColor="background1"/>
                          <w:lang w:val="en-US" w:eastAsia="zh-CN"/>
                          <w14:textFill>
                            <w14:solidFill>
                              <w14:schemeClr w14:val="bg1"/>
                            </w14:solidFill>
                          </w14:textFill>
                        </w:rPr>
                      </w:pPr>
                      <w:r>
                        <w:rPr>
                          <w:rFonts w:hint="eastAsia" w:eastAsia="宋体"/>
                          <w:b/>
                          <w:bCs/>
                          <w:color w:val="FFFFFF" w:themeColor="background1"/>
                          <w:lang w:val="en-US" w:eastAsia="zh-CN"/>
                          <w14:textFill>
                            <w14:solidFill>
                              <w14:schemeClr w14:val="bg1"/>
                            </w14:solidFill>
                          </w14:textFill>
                        </w:rPr>
                        <w:t>{{Phenotype}}</w:t>
                      </w:r>
                    </w:p>
                  </w:txbxContent>
                </v:textbox>
              </v:roundrect>
            </w:pict>
          </mc:Fallback>
        </mc:AlternateContent>
      </w:r>
    </w:p>
    <w:p w14:paraId="1CC22AB1">
      <w:pPr>
        <w:rPr>
          <w:rFonts w:ascii="Times New Roman" w:hAnsi="Times New Roman"/>
          <w:sz w:val="22"/>
        </w:rPr>
      </w:pPr>
    </w:p>
    <w:p w14:paraId="43B75D7E">
      <w:pPr>
        <w:rPr>
          <w:rFonts w:ascii="Times New Roman" w:hAnsi="Times New Roman"/>
          <w:sz w:val="22"/>
        </w:rPr>
      </w:pPr>
    </w:p>
    <w:p w14:paraId="183D9A66">
      <w:r>
        <w:rPr>
          <w:rFonts w:ascii="Times New Roman" w:hAnsi="Times New Roman"/>
          <w:sz w:val="22"/>
        </w:rPr>
        <w:t>Description：{{Wikipedia_Info}}</w:t>
      </w:r>
    </w:p>
    <w:p w14:paraId="106E6481">
      <w:pPr>
        <w:rPr>
          <w:color w:val="0000FF"/>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Drug:</w:t>
      </w:r>
      <w:r>
        <w:rPr>
          <w:rFonts w:ascii="Times New Roman" w:hAnsi="Times New Roman"/>
          <w:b/>
          <w:color w:val="0000FF"/>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{{Drug}}</w:t>
      </w:r>
    </w:p>
    <w:p w14:paraId="0A950ECF">
      <w:r>
        <w:rPr>
          <w:rFonts w:ascii="Times New Roman" w:hAnsi="Times New Roman"/>
          <w:sz w:val="22"/>
        </w:rPr>
        <w:t>Description：{{Wikipedia_Additional}}</w:t>
      </w:r>
    </w:p>
    <w:p w14:paraId="7E6D9CE0">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p>
    <w:p w14:paraId="4350E8F7">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sz w:val="22"/>
        </w:rPr>
        <w:t>Genetic Guidance for</w:t>
      </w:r>
      <w:r>
        <w:rPr>
          <w:rFonts w:ascii="Times New Roman" w:hAnsi="Times New Roman"/>
          <w:b/>
          <w:sz w:val="22"/>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{{Drug}}</w:t>
      </w:r>
    </w:p>
    <w:p w14:paraId="1A1D54A6">
      <w:pPr>
        <w:pBdr>
          <w:top w:val="single" w:color="2F5496" w:sz="4" w:space="0"/>
          <w:left w:val="single" w:color="2F5496" w:sz="4" w:space="0"/>
          <w:bottom w:val="single" w:color="2F5496" w:sz="4" w:space="0"/>
          <w:right w:val="single" w:color="2F5496" w:sz="4" w:space="0"/>
        </w:pBdr>
        <w:spacing w:before="113" w:after="113"/>
        <w:ind w:right="113"/>
        <w:jc w:val="center"/>
        <w:rPr>
          <w:rFonts w:ascii="Times New Roman" w:hAnsi="Times New Roman"/>
          <w:b/>
          <w:sz w:val="22"/>
        </w:rPr>
      </w:pPr>
      <w:r>
        <w:rPr>
          <w:rFonts w:ascii="Times New Roman" w:hAnsi="Times New Roman"/>
          <w:b/>
          <w:sz w:val="22"/>
        </w:rPr>
        <w:br w:type="textWrapping"/>
      </w:r>
    </w:p>
    <w:p w14:paraId="55F0998B">
      <w:pPr>
        <w:rPr>
          <w:rFonts w:ascii="Times New Roman" w:hAnsi="Times New Roman"/>
          <w:sz w:val="22"/>
        </w:rPr>
      </w:pPr>
      <w:r>
        <w:rPr>
          <w:rFonts w:ascii="Times New Roman" w:hAnsi="Times New Roman"/>
          <w:sz w:val="22"/>
        </w:rPr>
        <w:t>We have analyzed the</w:t>
      </w:r>
      <w:r>
        <w:rPr>
          <w:rFonts w:ascii="Times New Roman" w:hAnsi="Times New Roman"/>
          <w:color w:val="0070C0"/>
          <w:sz w:val="22"/>
        </w:rPr>
        <w:t xml:space="preserve"> {{variant}} </w:t>
      </w:r>
      <w:r>
        <w:rPr>
          <w:rFonts w:ascii="Times New Roman" w:hAnsi="Times New Roman"/>
          <w:sz w:val="22"/>
        </w:rPr>
        <w:t>locus of your</w:t>
      </w:r>
      <w:r>
        <w:rPr>
          <w:rFonts w:ascii="Times New Roman" w:hAnsi="Times New Roman"/>
          <w:color w:val="0070C0"/>
          <w:sz w:val="22"/>
        </w:rPr>
        <w:t xml:space="preserve"> {{Gene}}</w:t>
      </w:r>
      <w:r>
        <w:rPr>
          <w:rFonts w:ascii="Times New Roman" w:hAnsi="Times New Roman"/>
          <w:sz w:val="22"/>
        </w:rPr>
        <w:t xml:space="preserve"> gene. Your genotype is determined to be</w:t>
      </w:r>
      <w:r>
        <w:rPr>
          <w:rFonts w:ascii="Times New Roman" w:hAnsi="Times New Roman"/>
          <w:color w:val="0070C0"/>
          <w:sz w:val="22"/>
        </w:rPr>
        <w:t xml:space="preserve"> {{Genotype}}. </w:t>
      </w:r>
      <w:r>
        <w:rPr>
          <w:rFonts w:ascii="Times New Roman" w:hAnsi="Times New Roman"/>
          <w:sz w:val="22"/>
        </w:rPr>
        <w:t>{{Annotation_Text}}.</w:t>
      </w:r>
    </w:p>
    <w:p w14:paraId="13629AE2">
      <w:pPr>
        <w:rPr>
          <w:rFonts w:ascii="Times New Roman" w:hAnsi="Times New Roman"/>
          <w:sz w:val="22"/>
        </w:rPr>
      </w:pPr>
    </w:p>
    <w:p w14:paraId="783C3527">
      <w:pPr>
        <w:pStyle w:val="4"/>
        <w:jc w:val="cente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imes New Roman" w:hAnsi="Times New Roman"/>
          <w:b/>
          <w:color w:val="000000"/>
          <w:sz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My Genetic Result Details</w:t>
      </w:r>
    </w:p>
    <w:p w14:paraId="25F72D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2028"/>
        <w:gridCol w:w="1806"/>
        <w:gridCol w:w="2088"/>
        <w:gridCol w:w="1986"/>
      </w:tblGrid>
      <w:tr w14:paraId="25D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2F5496"/>
          </w:tcPr>
          <w:p w14:paraId="773B1D3C">
            <w:pPr>
              <w:spacing w:after="0" w:line="240" w:lineRule="auto"/>
            </w:pPr>
            <w:r>
              <w:rPr>
                <w:rFonts w:ascii="Times New Roman" w:hAnsi="Times New Roman"/>
                <w:color w:val="FFFFFF"/>
                <w:sz w:val="22"/>
              </w:rPr>
              <w:t>Gene</w:t>
            </w:r>
          </w:p>
        </w:tc>
        <w:tc>
          <w:tcPr>
            <w:tcW w:w="1728" w:type="dxa"/>
            <w:shd w:val="clear" w:color="auto" w:fill="2F5496"/>
          </w:tcPr>
          <w:p w14:paraId="7692F446">
            <w:pPr>
              <w:spacing w:after="0" w:line="240" w:lineRule="auto"/>
            </w:pPr>
            <w:r>
              <w:rPr>
                <w:rFonts w:ascii="Times New Roman" w:hAnsi="Times New Roman"/>
                <w:color w:val="FFFFFF"/>
                <w:sz w:val="22"/>
              </w:rPr>
              <w:t>Variant</w:t>
            </w:r>
          </w:p>
        </w:tc>
        <w:tc>
          <w:tcPr>
            <w:tcW w:w="1728" w:type="dxa"/>
            <w:shd w:val="clear" w:color="auto" w:fill="2F5496"/>
          </w:tcPr>
          <w:p w14:paraId="566D09AF">
            <w:pPr>
              <w:spacing w:after="0" w:line="240" w:lineRule="auto"/>
            </w:pPr>
            <w:r>
              <w:rPr>
                <w:rFonts w:ascii="Times New Roman" w:hAnsi="Times New Roman"/>
                <w:color w:val="FFFFFF"/>
                <w:sz w:val="22"/>
              </w:rPr>
              <w:t>Genotype</w:t>
            </w:r>
          </w:p>
        </w:tc>
        <w:tc>
          <w:tcPr>
            <w:tcW w:w="1728" w:type="dxa"/>
            <w:shd w:val="clear" w:color="auto" w:fill="2F5496"/>
          </w:tcPr>
          <w:p w14:paraId="5661BECC">
            <w:pPr>
              <w:spacing w:after="0" w:line="240" w:lineRule="auto"/>
            </w:pPr>
            <w:r>
              <w:rPr>
                <w:rFonts w:ascii="Times New Roman" w:hAnsi="Times New Roman"/>
                <w:color w:val="FFFFFF"/>
                <w:sz w:val="22"/>
              </w:rPr>
              <w:t>Phenotype Category</w:t>
            </w:r>
          </w:p>
        </w:tc>
        <w:tc>
          <w:tcPr>
            <w:tcW w:w="1728" w:type="dxa"/>
            <w:shd w:val="clear" w:color="auto" w:fill="2F5496"/>
          </w:tcPr>
          <w:p w14:paraId="2B87980C">
            <w:pPr>
              <w:spacing w:after="0" w:line="240" w:lineRule="auto"/>
            </w:pPr>
            <w:r>
              <w:rPr>
                <w:rFonts w:ascii="Times New Roman" w:hAnsi="Times New Roman"/>
                <w:color w:val="FFFFFF"/>
                <w:sz w:val="22"/>
              </w:rPr>
              <w:t>Level of Evidence</w:t>
            </w:r>
          </w:p>
        </w:tc>
      </w:tr>
      <w:tr w14:paraId="7B22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11D21EF">
            <w:pPr>
              <w:spacing w:after="0" w:line="240" w:lineRule="auto"/>
            </w:pPr>
            <w:r>
              <w:rPr>
                <w:rFonts w:ascii="Times New Roman" w:hAnsi="Times New Roman"/>
                <w:sz w:val="22"/>
              </w:rPr>
              <w:t>{{Gene}}</w:t>
            </w:r>
          </w:p>
        </w:tc>
        <w:tc>
          <w:tcPr>
            <w:tcW w:w="1728" w:type="dxa"/>
          </w:tcPr>
          <w:p w14:paraId="634E60F8">
            <w:pPr>
              <w:spacing w:after="0" w:line="240" w:lineRule="auto"/>
            </w:pPr>
            <w:r>
              <w:rPr>
                <w:rFonts w:ascii="Times New Roman" w:hAnsi="Times New Roman"/>
                <w:sz w:val="22"/>
              </w:rPr>
              <w:t>{{Variant_Haplotypes}}</w:t>
            </w:r>
          </w:p>
        </w:tc>
        <w:tc>
          <w:tcPr>
            <w:tcW w:w="1728" w:type="dxa"/>
          </w:tcPr>
          <w:p w14:paraId="6D05F2FE">
            <w:pPr>
              <w:spacing w:after="0" w:line="240" w:lineRule="auto"/>
            </w:pPr>
            <w:r>
              <w:rPr>
                <w:rFonts w:ascii="Times New Roman" w:hAnsi="Times New Roman"/>
                <w:sz w:val="22"/>
              </w:rPr>
              <w:t>{{Genotype_Allele}}</w:t>
            </w:r>
          </w:p>
        </w:tc>
        <w:tc>
          <w:tcPr>
            <w:tcW w:w="1728" w:type="dxa"/>
          </w:tcPr>
          <w:p w14:paraId="38CA6CD4">
            <w:pPr>
              <w:spacing w:after="0" w:line="240" w:lineRule="auto"/>
            </w:pPr>
            <w:r>
              <w:rPr>
                <w:rFonts w:ascii="Times New Roman" w:hAnsi="Times New Roman"/>
                <w:sz w:val="22"/>
              </w:rPr>
              <w:t>{{Phenotype_Category}}</w:t>
            </w:r>
          </w:p>
        </w:tc>
        <w:tc>
          <w:tcPr>
            <w:tcW w:w="1728" w:type="dxa"/>
          </w:tcPr>
          <w:p w14:paraId="743AACC0">
            <w:pPr>
              <w:spacing w:after="0" w:line="240" w:lineRule="auto"/>
            </w:pPr>
            <w:r>
              <w:rPr>
                <w:rFonts w:ascii="Times New Roman" w:hAnsi="Times New Roman"/>
                <w:sz w:val="22"/>
              </w:rPr>
              <w:t>{{Level_of_Evidence}}</w:t>
            </w:r>
          </w:p>
        </w:tc>
      </w:tr>
    </w:tbl>
    <w:p w14:paraId="63B26187">
      <w:r>
        <w:rPr>
          <w:rFonts w:ascii="Times New Roman" w:hAnsi="Times New Roman"/>
          <w:b/>
          <w:color w:val="000000"/>
          <w:sz w:val="18"/>
        </w:rPr>
        <w:t>* Level of Evidence：1A：Highest reliability；1B: Strong evidence；2A: Moderate reliability with enhanced pharmacogenetic focus ; 2B: Moderate evidence; 3: Emerging evidence; 4: Minimal to no evidence.</w:t>
      </w:r>
    </w:p>
    <w:p w14:paraId="0D5328BF">
      <w:pPr>
        <w:pStyle w:val="4"/>
        <w:jc w:val="left"/>
        <w:rPr>
          <w:rFonts w:ascii="Times New Roman" w:hAnsi="Times New Roman"/>
          <w:b/>
          <w:color w:val="000000"/>
          <w:sz w:val="28"/>
        </w:rPr>
      </w:pPr>
    </w:p>
    <w:p w14:paraId="6DCCAE92">
      <w:pPr>
        <w:pStyle w:val="4"/>
        <w:jc w:val="left"/>
      </w:pPr>
      <w:r>
        <w:rPr>
          <w:rFonts w:ascii="Times New Roman" w:hAnsi="Times New Roman"/>
          <w:b/>
          <w:color w:val="000000"/>
          <w:sz w:val="28"/>
        </w:rPr>
        <w:t>How to use the test results</w:t>
      </w:r>
    </w:p>
    <w:p w14:paraId="4A8C25FB">
      <w:pPr>
        <w:pStyle w:val="4"/>
        <w:jc w:val="left"/>
      </w:pPr>
      <w:r>
        <w:rPr>
          <w:rFonts w:ascii="Times New Roman" w:hAnsi="Times New Roman"/>
          <w:b/>
          <w:color w:val="000000"/>
          <w:sz w:val="24"/>
        </w:rPr>
        <w:t>Notification</w:t>
      </w:r>
    </w:p>
    <w:p w14:paraId="1420DBF4">
      <w:r>
        <w:rPr>
          <w:rFonts w:ascii="Times New Roman" w:hAnsi="Times New Roman"/>
          <w:sz w:val="22"/>
        </w:rPr>
        <w:t>The test does not yet have the qualifications for clinical diagnosis. The test results and medication recommendations provided are for reference only and cannot be directly used as the basis for clinical medication. If you have relevant medication needs, you can consult authoritative clinicians or professionals based on the results of this genetic test to obtain professional medication recommendations or follow the doctor's advice for clinically qualified inspection and test.</w:t>
      </w:r>
    </w:p>
    <w:p w14:paraId="64535D15">
      <w:pPr>
        <w:pStyle w:val="4"/>
        <w:jc w:val="left"/>
      </w:pPr>
      <w:r>
        <w:rPr>
          <w:rFonts w:ascii="Times New Roman" w:hAnsi="Times New Roman"/>
          <w:b/>
          <w:color w:val="000000"/>
          <w:sz w:val="24"/>
        </w:rPr>
        <w:t>Test content</w:t>
      </w:r>
    </w:p>
    <w:p w14:paraId="00C5FE89">
      <w:pPr>
        <w:rPr>
          <w:rFonts w:ascii="Times New Roman" w:hAnsi="Times New Roman"/>
          <w:sz w:val="22"/>
        </w:rPr>
      </w:pPr>
      <w:r>
        <w:rPr>
          <w:rFonts w:ascii="Times New Roman" w:hAnsi="Times New Roman"/>
          <w:sz w:val="22"/>
        </w:rPr>
        <w:t>Different genetic test versions and data sources may have different coverage of the above variants.</w:t>
      </w:r>
    </w:p>
    <w:p w14:paraId="73827B66">
      <w:pPr>
        <w:pStyle w:val="4"/>
        <w:jc w:val="left"/>
      </w:pPr>
      <w:r>
        <w:rPr>
          <w:rFonts w:ascii="Times New Roman" w:hAnsi="Times New Roman"/>
          <w:b/>
          <w:color w:val="000000"/>
          <w:sz w:val="24"/>
        </w:rPr>
        <w:t>Limit of detection</w:t>
      </w:r>
    </w:p>
    <w:p w14:paraId="444E6CA2">
      <w:r>
        <w:rPr>
          <w:rFonts w:ascii="Times New Roman" w:hAnsi="Times New Roman"/>
          <w:sz w:val="22"/>
        </w:rPr>
        <w:t>Test results are limited by the current technology and the level of scientific cognition. Depends on product package purchased, the test report may not cover all genes or loci related in each drug response. The accuracy of existing scientific research and the inherent detection error rate associated with the type of detection you purchase may also affect the accuracy of the interpretation of the item.</w:t>
      </w:r>
    </w:p>
    <w:p w14:paraId="76AB898E">
      <w:pPr>
        <w:rPr>
          <w:rFonts w:ascii="Times New Roman" w:hAnsi="Times New Roman"/>
          <w:sz w:val="22"/>
        </w:rPr>
      </w:pPr>
      <w:bookmarkStart w:id="0" w:name="_GoBack"/>
      <w:bookmarkEnd w:id="0"/>
    </w:p>
    <w:p w14:paraId="15AEC78B">
      <w:pPr>
        <w:rPr>
          <w:rFonts w:ascii="Times New Roman" w:hAnsi="Times New Roman"/>
          <w:sz w:val="22"/>
        </w:rPr>
      </w:pPr>
    </w:p>
    <w:p w14:paraId="115E6E25">
      <w:pPr>
        <w:rPr>
          <w:rFonts w:ascii="Times New Roman" w:hAnsi="Times New Roman"/>
          <w:sz w:val="22"/>
        </w:rPr>
      </w:pPr>
    </w:p>
    <w:sectPr>
      <w:headerReference r:id="rId5" w:type="default"/>
      <w:footerReference r:id="rId6" w:type="default"/>
      <w:pgSz w:w="12240" w:h="15840"/>
      <w:pgMar w:top="1837" w:right="1800" w:bottom="1837" w:left="1800" w:header="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方正赵孟頫楷书 简繁"/>
    <w:panose1 w:val="00000000000000000000"/>
    <w:charset w:val="80"/>
    <w:family w:val="roman"/>
    <w:pitch w:val="default"/>
    <w:sig w:usb0="00000000" w:usb1="00000000" w:usb2="00000010" w:usb3="00000000" w:csb0="00020000" w:csb1="00000000"/>
  </w:font>
  <w:font w:name="方正赵孟頫楷书 简繁">
    <w:panose1 w:val="02000500000000000000"/>
    <w:charset w:val="80"/>
    <w:family w:val="auto"/>
    <w:pitch w:val="default"/>
    <w:sig w:usb0="A00002BF" w:usb1="18CF7CFA" w:usb2="00000016" w:usb3="00000000" w:csb0="40020001" w:csb1="C0D6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algun Gothic">
    <w:panose1 w:val="020B0503020000020004"/>
    <w:charset w:val="81"/>
    <w:family w:val="auto"/>
    <w:pitch w:val="default"/>
    <w:sig w:usb0="9000002F" w:usb1="29D77CFB" w:usb2="00000012" w:usb3="00000000" w:csb0="00080001" w:csb1="00000000"/>
  </w:font>
  <w:font w:name="ＭＳ 明朝">
    <w:altName w:val="方正赵孟頫楷书 简繁"/>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汉仪楷体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F80C">
    <w:pPr>
      <w:pStyle w:val="24"/>
      <w:rPr>
        <w:rFonts w:hint="eastAsia"/>
        <w:sz w:val="13"/>
        <w:szCs w:val="13"/>
      </w:rPr>
    </w:pPr>
    <w:r>
      <w:rPr>
        <w:rFonts w:hint="eastAsia"/>
        <w:sz w:val="13"/>
        <w:szCs w:val="13"/>
      </w:rPr>
      <w:t xml:space="preserve">EboGenes Lab address: </w:t>
    </w:r>
  </w:p>
  <w:p w14:paraId="62C83FF7">
    <w:pPr>
      <w:pStyle w:val="24"/>
      <w:rPr>
        <w:rFonts w:hint="eastAsia"/>
        <w:sz w:val="13"/>
        <w:szCs w:val="13"/>
      </w:rPr>
    </w:pPr>
    <w:r>
      <w:rPr>
        <w:rFonts w:hint="eastAsia"/>
        <w:sz w:val="13"/>
        <w:szCs w:val="13"/>
      </w:rPr>
      <w:t xml:space="preserve">500, Boulevard Cartier Ouest, </w:t>
    </w:r>
  </w:p>
  <w:p w14:paraId="6D2D6D38">
    <w:pPr>
      <w:pStyle w:val="24"/>
      <w:rPr>
        <w:rFonts w:hint="eastAsia"/>
        <w:sz w:val="13"/>
        <w:szCs w:val="13"/>
      </w:rPr>
    </w:pPr>
    <w:r>
      <w:rPr>
        <w:rFonts w:hint="eastAsia"/>
        <w:sz w:val="13"/>
        <w:szCs w:val="13"/>
      </w:rPr>
      <w:t xml:space="preserve">Suite 222, Laval (Québec), Canada, H7V 5B7 </w:t>
    </w:r>
  </w:p>
  <w:p w14:paraId="2E04E9BC">
    <w:pPr>
      <w:pStyle w:val="24"/>
      <w:rPr>
        <w:rFonts w:hint="eastAsia"/>
        <w:sz w:val="13"/>
        <w:szCs w:val="13"/>
      </w:rPr>
    </w:pPr>
    <w:r>
      <w:rPr>
        <w:rFonts w:hint="eastAsia"/>
        <w:sz w:val="13"/>
        <w:szCs w:val="13"/>
      </w:rPr>
      <w:t xml:space="preserve">tel: +1 450-688-8377 ext. 2209 </w:t>
    </w:r>
  </w:p>
  <w:p w14:paraId="49074423">
    <w:pPr>
      <w:pStyle w:val="24"/>
    </w:pPr>
    <w:r>
      <w:rPr>
        <w:rFonts w:hint="eastAsia"/>
        <w:sz w:val="13"/>
        <w:szCs w:val="13"/>
      </w:rPr>
      <w:t>www.ebogenes.com</w:t>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C6FF7">
                          <w:pPr>
                            <w:pStyle w:val="2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94C6FF7">
                    <w:pPr>
                      <w:pStyle w:val="2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r>
      <w:rPr>
        <w:rFonts w:hint="eastAsia" w:eastAsiaTheme="minorEastAsia"/>
        <w:lang w:eastAsia="zh-CN"/>
      </w:rPr>
      <w:drawing>
        <wp:anchor distT="0" distB="0" distL="114300" distR="114300" simplePos="0" relativeHeight="251660288" behindDoc="1" locked="0" layoutInCell="1" allowOverlap="1">
          <wp:simplePos x="0" y="0"/>
          <wp:positionH relativeFrom="page">
            <wp:align>center</wp:align>
          </wp:positionH>
          <wp:positionV relativeFrom="page">
            <wp:align>bottom</wp:align>
          </wp:positionV>
          <wp:extent cx="15534640" cy="360045"/>
          <wp:effectExtent l="0" t="0" r="10160" b="1905"/>
          <wp:wrapNone/>
          <wp:docPr id="2" name="图片 2" descr="资源 4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资源 44_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5534640" cy="360045"/>
                  </a:xfrm>
                  <a:prstGeom prst="rect">
                    <a:avLst/>
                  </a:prstGeom>
                </pic:spPr>
              </pic:pic>
            </a:graphicData>
          </a:graphic>
          <wp14:sizeRelH relativeFrom="page">
            <wp14:pctWidth>100000</wp14:pctWidth>
          </wp14:sizeRelH>
          <wp14:sizeRelV relativeFrom="page">
            <wp14:pctHeight>0</wp14:pctHeight>
          </wp14:sizeRelV>
        </wp:anchor>
      </w:drawing>
    </w:r>
  </w:p>
  <w:p w14:paraId="356F489C">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70A26">
    <w:pPr>
      <w:pStyle w:val="25"/>
      <w:ind w:left="-1800" w:leftChars="-818" w:firstLine="0" w:firstLineChars="0"/>
      <w:rPr>
        <w:rFonts w:hint="default"/>
        <w:lang w:val="en-US"/>
      </w:rPr>
    </w:pP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drawing>
        <wp:anchor distT="0" distB="0" distL="114300" distR="114300" simplePos="0" relativeHeight="251662336" behindDoc="1" locked="0" layoutInCell="1" allowOverlap="1">
          <wp:simplePos x="0" y="0"/>
          <wp:positionH relativeFrom="column">
            <wp:posOffset>4652645</wp:posOffset>
          </wp:positionH>
          <wp:positionV relativeFrom="paragraph">
            <wp:posOffset>790575</wp:posOffset>
          </wp:positionV>
          <wp:extent cx="735965" cy="408940"/>
          <wp:effectExtent l="0" t="0" r="6985" b="0"/>
          <wp:wrapThrough wrapText="bothSides">
            <wp:wrapPolygon>
              <wp:start x="1118" y="4159"/>
              <wp:lineTo x="0" y="7278"/>
              <wp:lineTo x="0" y="12477"/>
              <wp:lineTo x="1677" y="17676"/>
              <wp:lineTo x="5591" y="17676"/>
              <wp:lineTo x="21246" y="13517"/>
              <wp:lineTo x="21246" y="6239"/>
              <wp:lineTo x="5591" y="4159"/>
              <wp:lineTo x="1118" y="4159"/>
            </wp:wrapPolygon>
          </wp:wrapThrough>
          <wp:docPr id="52" name="图片 52" descr="默认标题__2025-02-26+00_38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默认标题__2025-02-26+00_38_59"/>
                  <pic:cNvPicPr>
                    <a:picLocks noChangeAspect="1"/>
                  </pic:cNvPicPr>
                </pic:nvPicPr>
                <pic:blipFill>
                  <a:blip r:embed="rId1"/>
                  <a:stretch>
                    <a:fillRect/>
                  </a:stretch>
                </pic:blipFill>
                <pic:spPr>
                  <a:xfrm>
                    <a:off x="0" y="0"/>
                    <a:ext cx="735965" cy="408940"/>
                  </a:xfrm>
                  <a:prstGeom prst="rect">
                    <a:avLst/>
                  </a:prstGeom>
                </pic:spPr>
              </pic:pic>
            </a:graphicData>
          </a:graphic>
        </wp:anchor>
      </w:drawing>
    </w: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drawing>
        <wp:anchor distT="0" distB="0" distL="114300" distR="114300" simplePos="0" relativeHeight="251663360" behindDoc="1" locked="0" layoutInCell="1" allowOverlap="1">
          <wp:simplePos x="0" y="0"/>
          <wp:positionH relativeFrom="column">
            <wp:posOffset>-41275</wp:posOffset>
          </wp:positionH>
          <wp:positionV relativeFrom="paragraph">
            <wp:posOffset>522605</wp:posOffset>
          </wp:positionV>
          <wp:extent cx="613410" cy="613410"/>
          <wp:effectExtent l="0" t="0" r="15240" b="15240"/>
          <wp:wrapThrough wrapText="bothSides">
            <wp:wrapPolygon>
              <wp:start x="5366" y="671"/>
              <wp:lineTo x="0" y="4696"/>
              <wp:lineTo x="0" y="19453"/>
              <wp:lineTo x="7379" y="20795"/>
              <wp:lineTo x="13416" y="20795"/>
              <wp:lineTo x="16099" y="20795"/>
              <wp:lineTo x="20795" y="14758"/>
              <wp:lineTo x="20795" y="6708"/>
              <wp:lineTo x="17441" y="1342"/>
              <wp:lineTo x="14087" y="671"/>
              <wp:lineTo x="5366" y="671"/>
            </wp:wrapPolygon>
          </wp:wrapThrough>
          <wp:docPr id="51" name="图片 51" descr="ebogenes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bogenes抠图"/>
                  <pic:cNvPicPr>
                    <a:picLocks noChangeAspect="1"/>
                  </pic:cNvPicPr>
                </pic:nvPicPr>
                <pic:blipFill>
                  <a:blip r:embed="rId2"/>
                  <a:stretch>
                    <a:fillRect/>
                  </a:stretch>
                </pic:blipFill>
                <pic:spPr>
                  <a:xfrm>
                    <a:off x="0" y="0"/>
                    <a:ext cx="613410" cy="613410"/>
                  </a:xfrm>
                  <a:prstGeom prst="rect">
                    <a:avLst/>
                  </a:prstGeom>
                </pic:spPr>
              </pic:pic>
            </a:graphicData>
          </a:graphic>
        </wp:anchor>
      </w:drawing>
    </w:r>
    <w:r>
      <w:rPr>
        <w:rFonts w:hint="default"/>
        <w:lang w:val="en-US"/>
      </w:rPr>
      <w:drawing>
        <wp:inline distT="0" distB="0" distL="114300" distR="114300">
          <wp:extent cx="9275445" cy="864235"/>
          <wp:effectExtent l="0" t="0" r="1905" b="12065"/>
          <wp:docPr id="53"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1"/>
                  <pic:cNvPicPr>
                    <a:picLocks noChangeAspect="1"/>
                  </pic:cNvPicPr>
                </pic:nvPicPr>
                <pic:blipFill>
                  <a:blip r:embed="rId3"/>
                  <a:stretch>
                    <a:fillRect/>
                  </a:stretch>
                </pic:blipFill>
                <pic:spPr>
                  <a:xfrm>
                    <a:off x="0" y="0"/>
                    <a:ext cx="9275445" cy="864235"/>
                  </a:xfrm>
                  <a:prstGeom prst="rect">
                    <a:avLst/>
                  </a:prstGeom>
                </pic:spPr>
              </pic:pic>
            </a:graphicData>
          </a:graphic>
        </wp:inline>
      </w:drawing>
    </w:r>
    <w:r>
      <w:rPr>
        <w:rFonts w:hint="eastAsia"/>
        <w:lang w:val="en-US" w:eastAsia="zh-CN"/>
        <w14:textFill>
          <w14:gradFill>
            <w14:gsLst>
              <w14:gs w14:pos="51300">
                <w14:srgbClr w14:val="4888CF"/>
              </w14:gs>
              <w14:gs w14:pos="0">
                <w14:srgbClr w14:val="95D2FF"/>
              </w14:gs>
              <w14:gs w14:pos="95000">
                <w14:srgbClr w14:val="3965A3"/>
              </w14:gs>
            </w14:gsLst>
            <w14:lin w14:ang="5400000" w14:scaled="1"/>
          </w14:gradFill>
        </w14:textFill>
      </w:rPr>
      <w:t xml:space="preserve">                                                                                                                                                                     </w:t>
    </w:r>
    <w:r>
      <w:rPr>
        <w:rFonts w:hint="default" w:eastAsia="Malgun Gothic" w:cs="Malgun Gothic" w:asciiTheme="majorAscii" w:hAnsiTheme="majorAscii"/>
        <w:lang w:val="en-US" w:eastAsia="zh-CN"/>
        <w14:textFill>
          <w14:gradFill>
            <w14:gsLst>
              <w14:gs w14:pos="51300">
                <w14:srgbClr w14:val="4888CF"/>
              </w14:gs>
              <w14:gs w14:pos="0">
                <w14:srgbClr w14:val="95D2FF"/>
              </w14:gs>
              <w14:gs w14:pos="95000">
                <w14:srgbClr w14:val="3965A3"/>
              </w14:gs>
            </w14:gsLst>
            <w14:lin w14:ang="5400000" w14:scaled="1"/>
          </w14:gradFill>
        </w14:textFill>
      </w:rPr>
      <w:t>Powered by: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086668"/>
    <w:rsid w:val="527E2139"/>
    <w:rsid w:val="5B9D2D2E"/>
    <w:rsid w:val="7A4B62B3"/>
    <w:rsid w:val="7C3256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242</Words>
  <Characters>1453</Characters>
  <Lines>0</Lines>
  <Paragraphs>0</Paragraphs>
  <TotalTime>0</TotalTime>
  <ScaleCrop>false</ScaleCrop>
  <LinksUpToDate>false</LinksUpToDate>
  <CharactersWithSpaces>1659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常杰雅</cp:lastModifiedBy>
  <dcterms:modified xsi:type="dcterms:W3CDTF">2025-08-04T18:59:25Z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eyJoZGlkIjoiYTNkMDU2OGM3NGY0NDVmMWFkY2ExZjZjZWIzZTU5OWQiLCJ1c2VySWQiOiI0MzE1MDc5MjYifQ==</vt:lpwstr>
  </property>
  <property fmtid="{D5CDD505-2E9C-101B-9397-08002B2CF9AE}" pid="3" name="KSOProductBuildVer">
    <vt:lpwstr>2052-12.1.0.21915</vt:lpwstr>
  </property>
  <property fmtid="{D5CDD505-2E9C-101B-9397-08002B2CF9AE}" pid="4" name="ICV">
    <vt:lpwstr>87AAC3341A314F2A920B7428795518C4_13</vt:lpwstr>
  </property>
</Properties>
</file>