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{{PHENOTYPE_BLOCK_START}}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b5ab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b5ab2"/>
          <w:rtl w:val="0"/>
        </w:rPr>
        <w:t xml:space="preserve">Phenotype: {{PHENOTYPE_TITLE}}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Phenotype Description: {{PHENOTYPE_DESC}}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{{PHENOTYPE_BLOCK_END}}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{{DRUG_BLOCK_START}}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Drug: {{DRUG_TITLE}}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Drug Description: {{DRUG_DESC}}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{{DRUG_BLOCK_END}}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{{INFO_GROUP_START}}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5381625" cy="834741"/>
                <wp:effectExtent b="0" l="0" r="0" t="0"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7575" y="1217175"/>
                          <a:ext cx="5381625" cy="834741"/>
                          <a:chOff x="1927575" y="1217175"/>
                          <a:chExt cx="5213350" cy="800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32350" y="1221950"/>
                            <a:ext cx="52038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932300" y="1222100"/>
                            <a:ext cx="5203800" cy="7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8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80" w:before="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mbria" w:cs="Cambria" w:eastAsia="Cambria" w:hAnsi="Cambri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mbria" w:cs="Cambria" w:eastAsia="Cambria" w:hAnsi="Cambria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Genetic Guidance for {{Drug}}: </w:t>
                              </w:r>
                              <w:r w:rsidDel="00000000" w:rsidR="00000000" w:rsidRPr="00000000">
                                <w:rPr>
                                  <w:rFonts w:ascii="Cambria" w:cs="Cambria" w:eastAsia="Cambria" w:hAnsi="Cambr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{{RESULT}}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81625" cy="834741"/>
                <wp:effectExtent b="0" l="0" r="0" t="0"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1625" cy="8347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analyzed the</w:t>
      </w:r>
      <w:r w:rsidDel="00000000" w:rsidR="00000000" w:rsidRPr="00000000">
        <w:rPr>
          <w:rFonts w:ascii="Times New Roman" w:cs="Times New Roman" w:eastAsia="Times New Roman" w:hAnsi="Times New Roman"/>
          <w:color w:val="0b5ab2"/>
          <w:rtl w:val="0"/>
        </w:rPr>
        <w:t xml:space="preserve"> {{variant}}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locus of your</w:t>
      </w:r>
      <w:r w:rsidDel="00000000" w:rsidR="00000000" w:rsidRPr="00000000">
        <w:rPr>
          <w:rFonts w:ascii="Times New Roman" w:cs="Times New Roman" w:eastAsia="Times New Roman" w:hAnsi="Times New Roman"/>
          <w:color w:val="0b5ab2"/>
          <w:rtl w:val="0"/>
        </w:rPr>
        <w:t xml:space="preserve"> {{Gene}}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gene. Your genotype is determined to be</w:t>
      </w:r>
      <w:r w:rsidDel="00000000" w:rsidR="00000000" w:rsidRPr="00000000">
        <w:rPr>
          <w:rFonts w:ascii="Times New Roman" w:cs="Times New Roman" w:eastAsia="Times New Roman" w:hAnsi="Times New Roman"/>
          <w:color w:val="0b5ab2"/>
          <w:rtl w:val="0"/>
        </w:rPr>
        <w:t xml:space="preserve"> {{Genotype}}.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Annotation Text: {{ANNOTATION}}</w:t>
      </w:r>
    </w:p>
    <w:p w:rsidR="00000000" w:rsidDel="00000000" w:rsidP="00000000" w:rsidRDefault="00000000" w:rsidRPr="00000000" w14:paraId="0000000C">
      <w:pPr>
        <w:spacing w:after="16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My Genetic Result Details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color w:val="0b5ab2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7.244384765625682"/>
        <w:tblW w:w="8505.0" w:type="dxa"/>
        <w:jc w:val="left"/>
        <w:tblInd w:w="-115.0" w:type="dxa"/>
        <w:tblLayout w:type="fixed"/>
        <w:tblLook w:val="0400"/>
      </w:tblPr>
      <w:tblGrid>
        <w:gridCol w:w="1590"/>
        <w:gridCol w:w="1755"/>
        <w:gridCol w:w="1755"/>
        <w:gridCol w:w="1755"/>
        <w:gridCol w:w="1650"/>
        <w:tblGridChange w:id="0">
          <w:tblGrid>
            <w:gridCol w:w="1590"/>
            <w:gridCol w:w="1755"/>
            <w:gridCol w:w="1755"/>
            <w:gridCol w:w="1755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9dc3e6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</w:t>
            </w:r>
          </w:p>
        </w:tc>
        <w:tc>
          <w:tcPr>
            <w:shd w:fill="9dc3e6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Variant/Haplotypes</w:t>
            </w:r>
          </w:p>
        </w:tc>
        <w:tc>
          <w:tcPr>
            <w:shd w:fill="9dc3e6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Genotype/Allele</w:t>
            </w:r>
          </w:p>
        </w:tc>
        <w:tc>
          <w:tcPr>
            <w:shd w:fill="9dc3e6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Phenotype Category</w:t>
            </w:r>
          </w:p>
        </w:tc>
        <w:tc>
          <w:tcPr>
            <w:shd w:fill="9dc3e6" w:val="clea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Level of Evidence</w:t>
            </w:r>
          </w:p>
        </w:tc>
      </w:tr>
      <w:tr>
        <w:trPr>
          <w:cantSplit w:val="0"/>
          <w:trHeight w:val="718.21582031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{{GENE}}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{{VARIANT}}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{{GENOTYPE}}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{{PHENOTYPE_CATEGORY}}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{{LEVEL_OF_EVIDENCE}}</w:t>
            </w:r>
          </w:p>
        </w:tc>
      </w:tr>
    </w:tbl>
    <w:p w:rsidR="00000000" w:rsidDel="00000000" w:rsidP="00000000" w:rsidRDefault="00000000" w:rsidRPr="00000000" w14:paraId="00000019">
      <w:pPr>
        <w:spacing w:after="160" w:line="276" w:lineRule="auto"/>
        <w:rPr>
          <w:rFonts w:ascii="Times New Roman" w:cs="Times New Roman" w:eastAsia="Times New Roman" w:hAnsi="Times New Roman"/>
        </w:rPr>
      </w:pPr>
      <w:sdt>
        <w:sdtPr>
          <w:id w:val="-61964341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14"/>
              <w:szCs w:val="14"/>
              <w:rtl w:val="0"/>
            </w:rPr>
            <w:t xml:space="preserve">* Level of Evidence：1A：Highest reliability；1B: Strong evidence；2A: Moderate reliability with enhanced pharmacogenetic focus ; 2B: Moderate evidence; 3: Emerging evidence; 4: Minimal to no evidence.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{{INFO_GROUP_END}}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{{DRUG_DESCRIPTION_BLOCK_START}}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Drug Description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Pharmacodynamics: {{Pharmacodynamics}}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Route of elimination: {{Route_of_elimination}}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Half-life: {{Half_life}}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color w:val="2125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highlight w:val="white"/>
          <w:rtl w:val="0"/>
        </w:rPr>
        <w:t xml:space="preserve">Toxicity: {{Toxicity}}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{{DRUG_DESCRIPTION_BLOCK_END}}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5486400" cy="511175"/>
          <wp:effectExtent b="0" l="0" r="0" t="0"/>
          <wp:docPr descr="图片1" id="55" name="image1.png"/>
          <a:graphic>
            <a:graphicData uri="http://schemas.openxmlformats.org/drawingml/2006/picture">
              <pic:pic>
                <pic:nvPicPr>
                  <pic:cNvPr descr="图片1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6400" cy="511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标题 1 字符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标题 2 字符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标题 3 字符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标题 字符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副标题 字符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引用 字符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标题 4 字符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标题 5 字符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标题 6 字符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标题 7 字符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标题 8 字符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标题 9 字符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明显引用 字符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aWRi+0LdwBY7DkEX09rpkWOOA==">CgMxLjAaJQoBMBIgCh4IB0IaCg9UaW1lcyBOZXcgUm9tYW4SB0d1bmdzdWg4AHIhMTJCcWFibjNLOGVqOUtud3Y0bVBHclNrMUJDNzNjOU1N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