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color w:val="000000"/>
                <w:sz w:val="24"/>
              </w:rPr>
              <w:t>潘睿祺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color w:val="000000"/>
                <w:sz w:val="24"/>
              </w:rPr>
              <w:t>f25080124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color w:val="000000"/>
                <w:sz w:val="24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color w:val="000000"/>
                <w:sz w:val="24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</w:p>
    <w:p>
      <w:pPr>
        <w:keepNext/>
        <w:snapToGrid w:val="0"/>
        <w:spacing w:lineRule="auto" w:line="300" w:before="180" w:after="6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一、选取的开源项目：Apache Commons Lang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Apache Commons Lang 是 Apache 软件基金会 Commons 项目下的 Java 基础工具类库，为 java.lang 提供字符串、日期时间、反射、数学、并发等常用扩展，Spring、MyBatis、Hadoop 等大量框架都直接或间接依赖它。本次扫描的对象是官方源码发布包 commons-lang3-3.21.0-src.zip（2026 年发布，2.09 MB），解压后共 706 个文件、70 个目录，其中 .java 源文件 629 个。项目以 Apache License 2.0 发布，根目录下带 LICENSE.txt 与 NOTICE.txt，源码文件统一使用 “Licensed to the Apache Software Foundation (ASF) under one or more contributor license agreements…” 形式的许可证头。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选择该项目有三点考虑：一是许可证单一、声明规范，扫描结果可以与事实逐条比对，便于判断工具是否误报、漏报；二是规模适中（700 余个文件），全量扫描约 3 分钟，异常项可以人工复核到每一条；三是它属于 Apache 社区项目，其头部声明是业界公认的规范写法，适合作为“合规基线”样本。</w:t>
      </w:r>
    </w:p>
    <w:p>
      <w:pPr>
        <w:keepNext/>
        <w:snapToGrid w:val="0"/>
        <w:spacing w:lineRule="auto" w:line="300" w:before="180" w:after="6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二、许可证合规工具的安装过程及遇到的问题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工具选用 ScanCode Toolkit 32.5.0。它是 nexB 维护的开源代码扫描引擎，可以同时识别许可证、版权、包清单与依赖，并直接输出 JSON、HTML、SPDX、CycloneDX 等格式，是参考手册中列为“课程项目首选”的工具。安装环境为 Windows 11 + Python 3.14.7，步骤如下：</w:t>
      </w:r>
    </w:p>
    <w:p>
      <w:pPr>
        <w:snapToGrid w:val="0"/>
        <w:spacing w:line="240" w:lineRule="auto" w:before="4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>python -m venv .venv-scan</w:t>
      </w:r>
    </w:p>
    <w:p>
      <w:pPr>
        <w:snapToGrid w:val="0"/>
        <w:spacing w:line="240" w:lineRule="auto" w:before="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>.venv-scan\Scripts\python -m pip install scancode-toolkit \</w:t>
      </w:r>
    </w:p>
    <w:p>
      <w:pPr>
        <w:snapToGrid w:val="0"/>
        <w:spacing w:line="240" w:lineRule="auto" w:before="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-i https://pypi.tuna.tsinghua.edu.cn/simple</w:t>
      </w:r>
    </w:p>
    <w:p>
      <w:pPr>
        <w:snapToGrid w:val="0"/>
        <w:spacing w:line="240" w:lineRule="auto" w:before="0" w:after="4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>.venv-scan\Scripts\scancode --version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验证输出为 ScanCode version 32.5.0、Output Format 4.1.0、SPDX License list 3.27。主包 126.2 MB，连同 80 余个依赖全部装完约 2 分钟。安装与首次运行过程中共遇到四个问题：</w:t>
      </w:r>
    </w:p>
    <w:p>
      <w:pPr>
        <w:snapToGrid w:val="0"/>
        <w:spacing w:lineRule="auto" w:line="30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① 官方源连接被重置。</w:t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直接从 pypi.org 安装时反复报 ConnectionResetError: [WinError 10054]，依赖下载中断。改用清华镜像源（-i 参数）并加 --retries 10 后一次装完，这也是国内网络环境下最常见的一类问题。</w:t>
      </w:r>
    </w:p>
    <w:p>
      <w:pPr>
        <w:snapToGrid w:val="0"/>
        <w:spacing w:lineRule="auto" w:line="30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② 首次运行报缓存目录无权限。</w:t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装好后执行 scancode --version 直接报 PermissionError: [WinError 5] Access is denied: 'C:\Users\Ricky\.cache'。原因是 ScanCode 启动时要在用户主目录下创建缓存目录。解决办法是设置环境变量 SCANCODE_CACHE，把缓存重定向到工作区内可写目录。</w:t>
      </w:r>
    </w:p>
    <w:p>
      <w:pPr>
        <w:snapToGrid w:val="0"/>
        <w:spacing w:lineRule="auto" w:line="30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③ 插件框架版本不兼容。</w:t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缓存问题解决后又报 ValueError: did not find any 'pre_scan' hooks in &lt;module 'plugincode.pre_scan'&gt;。检查发现依赖 pluggy 被解析成 1.7.0，与 scancode 的插件框架 plugincode 32.0.0 不兼容，降级为 pluggy==1.5.0 后恢复正常。</w:t>
      </w:r>
    </w:p>
    <w:p>
      <w:pPr>
        <w:snapToGrid w:val="0"/>
        <w:spacing w:lineRule="auto" w:line="30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④ 安装时长时间无输出。</w:t>
      </w:r>
      <w:r>
        <w:rPr>
          <w:rFonts w:ascii="Times New Roman" w:hAnsi="Times New Roman" w:eastAsia="宋体" w:cs="Times New Roman"/>
          <w:b w:val="0"/>
          <w:color w:val="000000"/>
          <w:sz w:val="21"/>
        </w:rPr>
        <w:t>pip 十几分钟没有任何提示，难以判断是下载还是卡死；加 -v 后确认仍在拉取依赖元数据，换镜像源后 2 分钟装完。</w:t>
      </w:r>
    </w:p>
    <w:p>
      <w:pPr>
        <w:keepNext/>
        <w:snapToGrid w:val="0"/>
        <w:spacing w:lineRule="auto" w:line="300" w:before="180" w:after="6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三、工具输出的检测报告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在解压后的源码目录执行全量扫描（许可证 + 版权 + 包 + 文件信息 + 分类 + 汇总 + 清晰度评分），同时输出四种格式，命令如下：</w:t>
      </w:r>
    </w:p>
    <w:p>
      <w:pPr>
        <w:snapToGrid w:val="0"/>
        <w:spacing w:line="240" w:lineRule="auto" w:before="4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>scancode --license --copyright --package --info --classify \</w:t>
      </w:r>
    </w:p>
    <w:p>
      <w:pPr>
        <w:snapToGrid w:val="0"/>
        <w:spacing w:line="240" w:lineRule="auto" w:before="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--summary --license-clarity-score --processes 4 \</w:t>
      </w:r>
    </w:p>
    <w:p>
      <w:pPr>
        <w:snapToGrid w:val="0"/>
        <w:spacing w:line="240" w:lineRule="auto" w:before="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--json-pp scancode-result.json --html scancode-report.html \</w:t>
      </w:r>
    </w:p>
    <w:p>
      <w:pPr>
        <w:snapToGrid w:val="0"/>
        <w:spacing w:line="240" w:lineRule="auto" w:before="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--spdx-tv scancode-result.spdx --cyclonedx scancode-result.cdx.json \</w:t>
      </w:r>
    </w:p>
    <w:p>
      <w:pPr>
        <w:snapToGrid w:val="0"/>
        <w:spacing w:line="240" w:lineRule="auto" w:before="0" w:after="4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--strip-root commons-lang3-3.21.0-src</w:t>
      </w:r>
    </w:p>
    <w:p>
      <w:pPr>
        <w:keepNext/>
        <w:snapToGrid w:val="0"/>
        <w:spacing w:lineRule="auto" w:line="300" w:before="60" w:after="40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1  扫描结果汇总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5953"/>
      </w:tblGrid>
      <w:tr>
        <w:trPr>
          <w:tblHeader/>
        </w:trPr>
        <w:tc>
          <w:tcPr>
            <w:tcW w:type="dxa" w:w="2268"/>
            <w:shd w:val="clear" w:color="auto" w:fill="E7E6E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5953"/>
            <w:shd w:val="clear" w:color="auto" w:fill="E7E6E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数值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扫描对象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 Commons Lang 3.21.0 源码包（2.09 MB）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扫描条目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776 个（文件 706 个 + 目录 70 个）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源码文件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632 个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检出许可证的文件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695 / 706（98.4%）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检出许可证的源码文件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631 / 632（99.8%）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许可证检出次数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701 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检出的许可证表达式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 种（apache-2.0、generic-cla AND apache-2.0、apache-1.1）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匹配平均分 / 最低分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99.9 / 75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含版权声明的文件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个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许可证清晰度评分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100 / 100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扫描耗时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193.3 秒（4 进程）</w:t>
            </w:r>
          </w:p>
        </w:tc>
      </w:tr>
    </w:tbl>
    <w:p>
      <w:pPr>
        <w:keepNext/>
        <w:snapToGrid w:val="0"/>
        <w:spacing w:lineRule="auto" w:line="300" w:before="60" w:after="40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2  检出的许可证表达式分布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8"/>
        <w:gridCol w:w="3628"/>
        <w:gridCol w:w="1077"/>
        <w:gridCol w:w="964"/>
      </w:tblGrid>
      <w:tr>
        <w:trPr>
          <w:tblHeader/>
        </w:trPr>
        <w:tc>
          <w:tcPr>
            <w:tcW w:type="dxa" w:w="2608"/>
            <w:shd w:val="clear" w:color="auto" w:fill="E7E6E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许可证表达式</w:t>
            </w:r>
          </w:p>
        </w:tc>
        <w:tc>
          <w:tcPr>
            <w:tcW w:type="dxa" w:w="3628"/>
            <w:shd w:val="clear" w:color="auto" w:fill="E7E6E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SPDX 标识</w:t>
            </w:r>
          </w:p>
        </w:tc>
        <w:tc>
          <w:tcPr>
            <w:tcW w:type="dxa" w:w="1077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检出次数</w:t>
            </w:r>
          </w:p>
        </w:tc>
        <w:tc>
          <w:tcPr>
            <w:tcW w:type="dxa" w:w="964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占比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Apache-2.0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99.43%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generic-cla AND apache-2.0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LicenseRef-scancode-generic-cla AND Apache-2.0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0.43%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apache-1.1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Apache-1.1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0.14%</w:t>
            </w:r>
          </w:p>
        </w:tc>
      </w:tr>
    </w:tbl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328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napToGrid w:val="0"/>
        <w:spacing w:lineRule="auto" w:line="300" w:before="40" w:after="80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图 1  HTML 检测报告片段（逐文件许可证与版权结果）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HTML 报告逐行列出每个文件的许可证片段（起始行、许可证标识、置信度），JSON 则保留完整明细，下面是其中一条 Java 文件的检出记录：</w:t>
      </w:r>
    </w:p>
    <w:p>
      <w:pPr>
        <w:snapToGrid w:val="0"/>
        <w:spacing w:line="240" w:lineRule="auto" w:before="4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>"path": "src/main/java/org/apache/commons/lang3/RandomStringUtils.java",</w:t>
      </w:r>
    </w:p>
    <w:p>
      <w:pPr>
        <w:snapToGrid w:val="0"/>
        <w:spacing w:line="240" w:lineRule="auto" w:before="0" w:after="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>"license_expression": "apache-2.0",  "license_expression_spdx": "Apache-2.0",</w:t>
      </w:r>
    </w:p>
    <w:p>
      <w:pPr>
        <w:snapToGrid w:val="0"/>
        <w:spacing w:line="240" w:lineRule="auto" w:before="0" w:after="40"/>
        <w:ind w:left="420" w:firstLine="0"/>
        <w:jc w:val="left"/>
      </w:pPr>
      <w:r>
        <w:rPr>
          <w:rFonts w:ascii="Consolas" w:hAnsi="Consolas" w:eastAsia="宋体" w:cs="Consolas"/>
          <w:b w:val="0"/>
          <w:color w:val="000000"/>
          <w:sz w:val="17"/>
        </w:rPr>
        <w:t>"start_line": 2, "end_line": 15, "matcher": "2-aho", "score": 100.0</w:t>
      </w:r>
    </w:p>
    <w:p>
      <w:pPr>
        <w:keepNext/>
        <w:snapToGrid w:val="0"/>
        <w:spacing w:lineRule="auto" w:line="300" w:before="180" w:after="6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四、检测报告分析</w:t>
      </w:r>
    </w:p>
    <w:p>
      <w:pPr>
        <w:keepNext/>
        <w:snapToGrid w:val="0"/>
        <w:spacing w:lineRule="auto" w:line="300" w:before="80" w:after="4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（一）总体结论：检出准确，与项目声明一致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706 个文件中有 695 个检出许可证（98.4%），632 个源码文件中有 631 个检出（99.8%）；701 次检出里 697 次为 apache-2.0，平均置信度 99.9，最高 100。扫描器给出的清晰度评分为满分 100（声明许可证、识别精度、许可证全文、版权声明四项均满足）。这一结果与项目“全部以 Apache-2.0 发布”的事实完全吻合，说明扫描器对 ASF 标准头部的识别是可靠的：绝大多数 Java 文件的匹配起始行都是第 2 行、结束于第 15 行，正好对应文件头部那段 14 行的标准声明。</w:t>
      </w:r>
    </w:p>
    <w:p>
      <w:pPr>
        <w:keepNext/>
        <w:snapToGrid w:val="0"/>
        <w:spacing w:lineRule="auto" w:line="300" w:before="80" w:after="4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（二）两处误报：低置信度短匹配与关键词误命中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第一处误报是 src/site/resources/lang2-lang3-clirr-report.html 被检出 apache-1.1。该匹配只覆盖第 185 行的 6 个词（6 token），置信度仅 75，实际内容只是页面导航里的一个链接“https://www.apache.org/licenses/”。这是一个典型的“URL 片段被规则命中”的假阳性。第二处是 README.md 与 CONTRIBUTING.md 中的 “Contributor License Agreement” 字样被识别为 generic-cla，并与 apache-2.0 拼成复合表达式。它本身不是许可证声明，却让扫描汇总里的 declared_license_expression 变成 “apache-2.0 AND (generic-cla AND apache-2.0)”，语义上明显失真。两点都说明：低分（&lt;80）和超短匹配必须人工复核，不能直接把汇总字段当作结论。</w:t>
      </w:r>
    </w:p>
    <w:p>
      <w:pPr>
        <w:keepNext/>
        <w:snapToGrid w:val="0"/>
        <w:spacing w:lineRule="auto" w:line="300" w:before="80" w:after="4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（三）一处漏检：非 Java 文件缺少许可证头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唯一未检出的源码文件是 src/site/resources/download_lang.cgi，这是一个 POSIX shell 脚本，没有任何许可证声明。另有 10 个非源码文件同样未检出，按类型归并如表 3。图片和 .class 属于二进制，本就不该检出许可证；真正值得注意的是那个 .cgi 脚本——如果该项目要对外分发，它就是发布审计会挑出来的“文件缺少许可证头”问题，而 Apache Rat 恰恰是专门查这一项的工具。</w:t>
      </w:r>
    </w:p>
    <w:p>
      <w:pPr>
        <w:keepNext/>
        <w:snapToGrid w:val="0"/>
        <w:spacing w:lineRule="auto" w:line="300" w:before="60" w:after="40"/>
        <w:jc w:val="center"/>
      </w:pPr>
      <w:r>
        <w:rPr>
          <w:rFonts w:ascii="Times New Roman" w:hAnsi="Times New Roman" w:eastAsia="宋体" w:cs="Times New Roman"/>
          <w:b/>
          <w:color w:val="000000"/>
          <w:sz w:val="21"/>
        </w:rPr>
        <w:t>表 3  未检出许可证的 11 个文件构成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680"/>
        <w:gridCol w:w="3628"/>
        <w:gridCol w:w="2381"/>
      </w:tblGrid>
      <w:tr>
        <w:trPr>
          <w:tblHeader/>
        </w:trPr>
        <w:tc>
          <w:tcPr>
            <w:tcW w:type="dxa" w:w="1587"/>
            <w:shd w:val="clear" w:color="auto" w:fill="E7E6E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680"/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3628"/>
            <w:shd w:val="clear" w:color="auto" w:fill="E7E6E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代表文件</w:t>
            </w:r>
          </w:p>
        </w:tc>
        <w:tc>
          <w:tcPr>
            <w:tcW w:type="dxa" w:w="2381"/>
            <w:shd w:val="clear" w:color="auto" w:fill="E7E6E6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是否构成合规风险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图片资源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logo.png、commons-logo-component.xcf 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否：二进制资源，本无许可证头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编译产物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PrivateInterfaceBean.class 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否：扫描对象应为源码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站点脚本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download_lang.cgi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是：分发时缺少许可证声明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数据与文本资源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RELEASE-NOTES-3.9.txt、lang-708-input.txt、JMH 结果 JSON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低：非分发主体，补声明即可</w:t>
            </w:r>
          </w:p>
        </w:tc>
      </w:tr>
    </w:tbl>
    <w:p>
      <w:pPr>
        <w:keepNext/>
        <w:snapToGrid w:val="0"/>
        <w:spacing w:lineRule="auto" w:line="300" w:before="80" w:after="4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（四）版权字段几乎为空，但不等于无义务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全项目只有 NOTICE.txt 和一个旧报告页检出 2 条版权声明，704 个文件的 copyright 字段为空。这不是漏检，而是 ASF 现行头部写法的结果：头部只声明“Licensed to the ASF”，版权归属统一写在 NOTICE.txt 里。因此对 Apache-2.0 项目，“版权检出数为 0”并不能推出“没有版权义务”，真正的义务是分发时保留 LICENSE 与 NOTICE，而不是逐文件保留版权行。这也提醒我们：看报告要结合许可证类型，不能只看字段是否为空。</w:t>
      </w:r>
    </w:p>
    <w:p>
      <w:pPr>
        <w:keepNext/>
        <w:snapToGrid w:val="0"/>
        <w:spacing w:lineRule="auto" w:line="300" w:before="80" w:after="40"/>
        <w:ind w:firstLine="420"/>
        <w:jc w:val="left"/>
      </w:pPr>
      <w:r>
        <w:rPr>
          <w:rFonts w:ascii="Times New Roman" w:hAnsi="Times New Roman" w:eastAsia="宋体" w:cs="Times New Roman"/>
          <w:b/>
          <w:color w:val="000000"/>
          <w:sz w:val="21"/>
        </w:rPr>
        <w:t>（五）工具的局限与改进建议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从本次结果看，ScanCode 的强项是源代码文本的许可证识别，短板也很明显：一是 packages 字段为空，本次并未解析 pom.xml 中的 Maven 依赖，依赖树上的第三方许可证完全没有覆盖，要补这一块需要 ORT 或 FOSSLight 这类端到端工具；二是对二进制（.class、固件）无能为力，需配合 BANG；三是低分短匹配会制造噪声。针对本项目可提三条建议：给 .cgi 等脚本补上许可证头；在 CI 中用 --license-score 80 过滤低置信度匹配，并把 --license-policy 白名单纳入门禁；对汇总字段（declared_license_expression）坚持人工确认，必要时用 OpossumUI 做最后复核。</w:t>
      </w:r>
    </w:p>
    <w:p>
      <w:pPr>
        <w:keepNext/>
        <w:snapToGrid w:val="0"/>
        <w:spacing w:lineRule="auto" w:line="300" w:before="180" w:after="6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五、结论</w:t>
      </w:r>
    </w:p>
    <w:p>
      <w:pPr>
        <w:snapToGrid w:val="0"/>
        <w:spacing w:lineRule="auto" w:line="300" w:before="0" w:after="0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本次以 ScanCode Toolkit 32.5.0 对 Apache Commons Lang 3.21.0 源码包做了全量许可证扫描，706 个文件、4 种输出格式、193.8 秒完成。结论有三点：其一，项目合规状况良好，单一 Apache-2.0、源码声明覆盖率 99.8%，分发时保留 LICENSE 与 NOTICE 即可满足主要义务；其二，工具整体可靠但并非“扫完即合规”，本次就出现了 2 处误报和 1 处真实缺口，必须人工复核；其三，安装环节的缓存权限、插件版本、镜像源三个坑，是这类 Python 工具在 Windows 上落地的共性问题，记录下来对后续在 CI 中复用有直接价值。</w:t>
      </w:r>
    </w:p>
    <w:p>
      <w:pPr>
        <w:keepNext/>
        <w:snapToGrid w:val="0"/>
        <w:spacing w:lineRule="auto" w:line="300" w:before="180" w:after="6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</w:rPr>
        <w:t>参考资料</w:t>
      </w:r>
    </w:p>
    <w:p>
      <w:pPr>
        <w:snapToGrid w:val="0"/>
        <w:spacing w:lineRule="auto" w:line="300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[1] ScanCode Toolkit 32.5.0 文档与源码，https://github.com/aboutcode-org/scancode-toolkit</w:t>
      </w:r>
    </w:p>
    <w:p>
      <w:pPr>
        <w:snapToGrid w:val="0"/>
        <w:spacing w:lineRule="auto" w:line="300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[2] Apache Commons Lang 3.21.0 源码发布包，https://commons.apache.org/proper/commons-lang/</w:t>
      </w:r>
    </w:p>
    <w:p>
      <w:pPr>
        <w:snapToGrid w:val="0"/>
        <w:spacing w:lineRule="auto" w:line="300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[3] SPDX License List 3.27，https://spdx.org/licenses/</w:t>
      </w:r>
    </w:p>
    <w:p>
      <w:pPr>
        <w:snapToGrid w:val="0"/>
        <w:spacing w:lineRule="auto" w:line="300"/>
        <w:ind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[4] 课程资料《33 款开源软件许可合规工具——逐条优缺点与选型手册》，2026 年 10 月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