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600" w:line="300" w:lineRule="auto"/>
        <w:jc w:val="center"/>
      </w:pPr>
      <w:r>
        <w:rPr>
          <w:rFonts w:ascii="黑体" w:hAnsi="黑体" w:eastAsia="黑体"/>
          <w:b/>
          <w:sz w:val="32"/>
        </w:rPr>
        <w:t>长庆工程设计有限公司</w:t>
      </w:r>
    </w:p>
    <w:p>
      <w:pPr>
        <w:spacing w:after="400" w:before="0" w:line="300" w:lineRule="auto"/>
        <w:jc w:val="center"/>
      </w:pPr>
      <w:r>
        <w:rPr>
          <w:rFonts w:ascii="黑体" w:hAnsi="黑体" w:eastAsia="黑体"/>
          <w:b/>
          <w:sz w:val="44"/>
        </w:rPr>
        <w:t>工程图纸智能审查系统</w:t>
      </w:r>
    </w:p>
    <w:p>
      <w:pPr>
        <w:spacing w:after="800" w:before="0" w:line="300" w:lineRule="auto"/>
        <w:jc w:val="center"/>
      </w:pPr>
      <w:r>
        <w:rPr>
          <w:rFonts w:ascii="黑体" w:hAnsi="黑体" w:eastAsia="黑体"/>
          <w:b/>
          <w:sz w:val="40"/>
        </w:rPr>
        <w:t>技 术 方 案 报 告</w:t>
      </w:r>
    </w:p>
    <w:p>
      <w:pPr>
        <w:spacing w:after="80" w:before="0" w:line="300" w:lineRule="auto"/>
        <w:jc w:val="center"/>
      </w:pPr>
      <w:r>
        <w:rPr>
          <w:rFonts w:ascii="宋体" w:hAnsi="宋体" w:eastAsia="宋体"/>
          <w:b w:val="0"/>
          <w:sz w:val="24"/>
        </w:rPr>
        <w:t>项目名称：长庆工程图纸智能审查系统</w:t>
      </w:r>
    </w:p>
    <w:p>
      <w:pPr>
        <w:spacing w:after="80" w:before="0" w:line="300" w:lineRule="auto"/>
        <w:jc w:val="center"/>
      </w:pPr>
      <w:r>
        <w:rPr>
          <w:rFonts w:ascii="宋体" w:hAnsi="宋体" w:eastAsia="宋体"/>
          <w:b w:val="0"/>
          <w:sz w:val="24"/>
        </w:rPr>
        <w:t>文档性质：技术方案报告（基于投标技术部分编制）</w:t>
      </w:r>
    </w:p>
    <w:p>
      <w:pPr>
        <w:spacing w:after="80" w:before="0" w:line="300" w:lineRule="auto"/>
        <w:jc w:val="center"/>
      </w:pPr>
      <w:r>
        <w:rPr>
          <w:rFonts w:ascii="宋体" w:hAnsi="宋体" w:eastAsia="宋体"/>
          <w:b w:val="0"/>
          <w:sz w:val="24"/>
        </w:rPr>
        <w:t>版本：V1.0</w:t>
      </w:r>
    </w:p>
    <w:p>
      <w:pPr>
        <w:spacing w:after="80" w:before="0" w:line="300" w:lineRule="auto"/>
        <w:jc w:val="center"/>
      </w:pPr>
      <w:r>
        <w:rPr>
          <w:rFonts w:ascii="宋体" w:hAnsi="宋体" w:eastAsia="宋体"/>
          <w:b w:val="0"/>
          <w:sz w:val="24"/>
        </w:rPr>
        <w:t>编制日期：2026年9月</w:t>
      </w:r>
    </w:p>
    <w:p>
      <w:r>
        <w:br w:type="page"/>
      </w:r>
    </w:p>
    <w:p>
      <w:pPr>
        <w:pStyle w:val="Heading1"/>
        <w:spacing w:after="160" w:before="280" w:line="300" w:lineRule="auto"/>
      </w:pPr>
      <w:r>
        <w:rPr>
          <w:rFonts w:ascii="黑体" w:hAnsi="黑体" w:eastAsia="黑体"/>
          <w:b/>
          <w:sz w:val="32"/>
        </w:rPr>
        <w:t>1 编制说明</w:t>
      </w:r>
    </w:p>
    <w:p>
      <w:pPr>
        <w:spacing w:after="120" w:before="0" w:line="300" w:lineRule="auto"/>
        <w:ind w:firstLine="420"/>
      </w:pPr>
      <w:r>
        <w:rPr>
          <w:rFonts w:ascii="宋体" w:hAnsi="宋体" w:eastAsia="宋体"/>
          <w:b w:val="0"/>
          <w:sz w:val="24"/>
        </w:rPr>
        <w:t>本报告依据《投标文件（技术部分）》中总体技术方案及相关章节编制，系统阐述本项目的技术路线、业务实现路径、AI模型体系、系统分层架构、智能体协同机制、技术选型与数据架构等内容，作为项目详细设计与开发实施的技术依据。</w:t>
      </w:r>
    </w:p>
    <w:p>
      <w:pPr>
        <w:spacing w:after="120" w:before="0" w:line="300" w:lineRule="auto"/>
        <w:ind w:firstLine="420"/>
      </w:pPr>
      <w:r>
        <w:rPr>
          <w:rFonts w:ascii="宋体" w:hAnsi="宋体" w:eastAsia="宋体"/>
          <w:b w:val="0"/>
          <w:sz w:val="24"/>
        </w:rPr>
        <w:t>报告在完整承接投标技术方案的基础上，对系统运行时的工作流编排、审查技能（Skill）注册与执行、图纸解析预处理边界、前后端与智能体协作方式等工程实现要点作了必要细化和补充，细化和补充内容不改变投标已明确的模型选型、业务路径、智能体设置、分层架构及性能指标等技术承诺。</w:t>
      </w:r>
    </w:p>
    <w:p>
      <w:pPr>
        <w:pStyle w:val="Heading1"/>
        <w:spacing w:after="160" w:before="280" w:line="300" w:lineRule="auto"/>
      </w:pPr>
      <w:r>
        <w:rPr>
          <w:rFonts w:ascii="黑体" w:hAnsi="黑体" w:eastAsia="黑体"/>
          <w:b/>
          <w:sz w:val="32"/>
        </w:rPr>
        <w:t>2 总体技术方案</w:t>
      </w:r>
    </w:p>
    <w:p>
      <w:pPr>
        <w:pStyle w:val="Heading2"/>
        <w:spacing w:after="160" w:before="200" w:line="300" w:lineRule="auto"/>
      </w:pPr>
      <w:r>
        <w:rPr>
          <w:rFonts w:ascii="黑体" w:hAnsi="黑体" w:eastAsia="黑体"/>
          <w:b/>
          <w:sz w:val="28"/>
        </w:rPr>
        <w:t>2.1 总体实现思路</w:t>
      </w:r>
    </w:p>
    <w:p>
      <w:pPr>
        <w:spacing w:after="120" w:before="0" w:line="300" w:lineRule="auto"/>
        <w:ind w:firstLine="420"/>
      </w:pPr>
      <w:r>
        <w:rPr>
          <w:rFonts w:ascii="宋体" w:hAnsi="宋体" w:eastAsia="宋体"/>
          <w:b w:val="0"/>
          <w:sz w:val="24"/>
        </w:rPr>
        <w:t>针对招标文件要求，本项目按照“规则数字化 → 图纸结构化 → 审查智能化 → 结果可视化”的总体逻辑，构建一套基于“多模态大模型智能体 + 计算机视觉CV-CAD协同 + 图计算推理”混合架构的设计图纸智能审查系统，全面覆盖形式审查、目录一致性审查、工艺自控流程图（P&amp;ID）审查和总平面布置图审查等业务场景。系统整体采用松耦合微件化架构，支持各功能模块独立开发、部署与调试，满足后续二次开发与功能拓展需求。</w:t>
      </w:r>
    </w:p>
    <w:p>
      <w:pPr>
        <w:spacing w:after="120" w:before="0" w:line="300" w:lineRule="auto"/>
        <w:ind w:firstLine="420"/>
      </w:pPr>
      <w:r>
        <w:rPr>
          <w:rFonts w:ascii="宋体" w:hAnsi="宋体" w:eastAsia="宋体"/>
          <w:b w:val="0"/>
          <w:sz w:val="24"/>
        </w:rPr>
        <w:t>核心设计理念是不让任何单一模型承担全部审查任务：</w:t>
      </w:r>
    </w:p>
    <w:p>
      <w:pPr>
        <w:pStyle w:val="ListBullet"/>
        <w:spacing w:after="60" w:before="0" w:line="300" w:lineRule="auto"/>
      </w:pPr>
      <w:r>
        <w:rPr>
          <w:rFonts w:ascii="宋体" w:hAnsi="宋体" w:eastAsia="宋体"/>
          <w:b w:val="0"/>
          <w:sz w:val="24"/>
        </w:rPr>
        <w:t>多模态大模型智能体承担审查规则理解、审查任务分析与统筹调度；</w:t>
      </w:r>
    </w:p>
    <w:p>
      <w:pPr>
        <w:pStyle w:val="ListBullet"/>
        <w:spacing w:after="60" w:before="0" w:line="300" w:lineRule="auto"/>
      </w:pPr>
      <w:r>
        <w:rPr>
          <w:rFonts w:ascii="宋体" w:hAnsi="宋体" w:eastAsia="宋体"/>
          <w:b w:val="0"/>
          <w:sz w:val="24"/>
        </w:rPr>
        <w:t>复杂视觉理解由计算机视觉CV完成；</w:t>
      </w:r>
    </w:p>
    <w:p>
      <w:pPr>
        <w:pStyle w:val="ListBullet"/>
        <w:spacing w:after="60" w:before="0" w:line="300" w:lineRule="auto"/>
      </w:pPr>
      <w:r>
        <w:rPr>
          <w:rFonts w:ascii="宋体" w:hAnsi="宋体" w:eastAsia="宋体"/>
          <w:b w:val="0"/>
          <w:sz w:val="24"/>
        </w:rPr>
        <w:t>拓扑关系推理由图数据库与图神经网络支撑；</w:t>
      </w:r>
    </w:p>
    <w:p>
      <w:pPr>
        <w:pStyle w:val="ListBullet"/>
        <w:spacing w:after="60" w:before="0" w:line="300" w:lineRule="auto"/>
      </w:pPr>
      <w:r>
        <w:rPr>
          <w:rFonts w:ascii="宋体" w:hAnsi="宋体" w:eastAsia="宋体"/>
          <w:b w:val="0"/>
          <w:sz w:val="24"/>
        </w:rPr>
        <w:t>图层过滤筛选和空间计算由CAD软件精确执行。</w:t>
      </w:r>
    </w:p>
    <w:p>
      <w:pPr>
        <w:spacing w:after="120" w:before="0" w:line="300" w:lineRule="auto"/>
        <w:ind w:firstLine="420"/>
      </w:pPr>
      <w:r>
        <w:rPr>
          <w:rFonts w:ascii="宋体" w:hAnsi="宋体" w:eastAsia="宋体"/>
          <w:b w:val="0"/>
          <w:sz w:val="24"/>
        </w:rPr>
        <w:t>各层各司其职、扬长避短，确保审查结果的可解释性、准确性与可靠性。</w:t>
      </w:r>
    </w:p>
    <w:p>
      <w:pPr>
        <w:pStyle w:val="Heading2"/>
        <w:spacing w:after="160" w:before="200" w:line="300" w:lineRule="auto"/>
      </w:pPr>
      <w:r>
        <w:rPr>
          <w:rFonts w:ascii="黑体" w:hAnsi="黑体" w:eastAsia="黑体"/>
          <w:b/>
          <w:sz w:val="28"/>
        </w:rPr>
        <w:t>2.2 系统技术目标</w:t>
      </w:r>
    </w:p>
    <w:p>
      <w:pPr>
        <w:spacing w:after="120" w:before="0" w:line="300" w:lineRule="auto"/>
        <w:ind w:firstLine="420"/>
      </w:pPr>
      <w:r>
        <w:rPr>
          <w:rFonts w:ascii="宋体" w:hAnsi="宋体" w:eastAsia="宋体"/>
          <w:b w:val="0"/>
          <w:sz w:val="24"/>
        </w:rPr>
        <w:t>系统面向长庆工程设计有限公司内网私有化部署，嵌入二维协同平台存档前质量闸门环节，实现AI预审与人工复核相结合；建设可配置、可自建的审查规则库；合同后知识产权归招标人所有。技术指标以投标文件为准，包括但不限于：形式审查与目录一致性准确率不低于95%，典型P&amp;ID审查准确率不低于90%，典型总平面审查准确率不低于70%，并以双方确认的测试集作为验收评价依据。</w:t>
      </w:r>
    </w:p>
    <w:p>
      <w:pPr>
        <w:pStyle w:val="Heading1"/>
        <w:spacing w:after="160" w:before="280" w:line="300" w:lineRule="auto"/>
      </w:pPr>
      <w:r>
        <w:rPr>
          <w:rFonts w:ascii="黑体" w:hAnsi="黑体" w:eastAsia="黑体"/>
          <w:b/>
          <w:sz w:val="32"/>
        </w:rPr>
        <w:t>3 核心业务能力的技术实现</w:t>
      </w:r>
    </w:p>
    <w:p>
      <w:pPr>
        <w:spacing w:after="120" w:before="0" w:line="300" w:lineRule="auto"/>
        <w:ind w:firstLine="420"/>
      </w:pPr>
      <w:r>
        <w:rPr>
          <w:rFonts w:ascii="宋体" w:hAnsi="宋体" w:eastAsia="宋体"/>
          <w:b w:val="0"/>
          <w:sz w:val="24"/>
        </w:rPr>
        <w:t>围绕招标文件要求的三大业务能力，系统设计三条差异化技术实现路径，分别针对相应业务场景的技术难点进行优化。</w:t>
      </w:r>
    </w:p>
    <w:p>
      <w:pPr>
        <w:pStyle w:val="Heading2"/>
        <w:spacing w:after="160" w:before="200" w:line="300" w:lineRule="auto"/>
      </w:pPr>
      <w:r>
        <w:rPr>
          <w:rFonts w:ascii="黑体" w:hAnsi="黑体" w:eastAsia="黑体"/>
          <w:b/>
          <w:sz w:val="28"/>
        </w:rPr>
        <w:t>3.1 形式审查与目录一致性审查</w:t>
      </w:r>
    </w:p>
    <w:p>
      <w:pPr>
        <w:spacing w:after="120" w:before="0" w:line="300" w:lineRule="auto"/>
        <w:ind w:firstLine="420"/>
      </w:pPr>
      <w:r>
        <w:rPr>
          <w:rFonts w:ascii="宋体" w:hAnsi="宋体" w:eastAsia="宋体"/>
          <w:b w:val="0"/>
          <w:sz w:val="24"/>
        </w:rPr>
        <w:t>标题栏、图签栏、修订栏位于图纸边角区域，布局多样，表格结构不规则。系统通过PP-DocLayoutV3布局分割模型定位标题栏、说明栏、版本栏等关键区域，裁剪后送入多模态大模型（Qwen3.8），利用其视觉—语言对齐能力直接理解区域内的文字、表格结构和字段语义，输出结构化JSON（图号、项目名、阶段、日期等）。随后，规则引擎依据形式审查规则技能逐项校验：必填字段完整性、日期格式合规性、同组图纸字段一致性、图号后缀连续性等。</w:t>
      </w:r>
    </w:p>
    <w:p>
      <w:pPr>
        <w:spacing w:after="120" w:before="0" w:line="300" w:lineRule="auto"/>
        <w:ind w:firstLine="420"/>
      </w:pPr>
      <w:r>
        <w:rPr>
          <w:rFonts w:ascii="宋体" w:hAnsi="宋体" w:eastAsia="宋体"/>
          <w:b w:val="0"/>
          <w:sz w:val="24"/>
        </w:rPr>
        <w:t>目录一致性校验独立进行：解析目录文件提取图纸清单，与文件夹实体文件及标题栏提取结果三方交叉比对，精准识别缺图、多图、版本混用。</w:t>
      </w:r>
    </w:p>
    <w:p>
      <w:pPr>
        <w:spacing w:after="120" w:before="0" w:line="300" w:lineRule="auto"/>
        <w:ind w:firstLine="420"/>
      </w:pPr>
      <w:r>
        <w:rPr>
          <w:rFonts w:ascii="宋体" w:hAnsi="宋体" w:eastAsia="宋体"/>
          <w:b w:val="0"/>
          <w:sz w:val="24"/>
        </w:rPr>
        <w:t>技术优势：多模态大模型对旋转文字、异形表格、手写体等复杂场景的鲁棒性远超传统OCR，且无需针对每一种标题栏版式单独训练模板，具备跨项目泛化能力。</w:t>
      </w:r>
    </w:p>
    <w:p>
      <w:pPr>
        <w:spacing w:after="120" w:before="0" w:line="300" w:lineRule="auto"/>
        <w:ind w:firstLine="420"/>
      </w:pPr>
      <w:r>
        <w:rPr>
          <w:rFonts w:ascii="宋体" w:hAnsi="宋体" w:eastAsia="宋体"/>
          <w:b w:val="0"/>
          <w:sz w:val="24"/>
        </w:rPr>
        <w:t>工程实现补充：图纸与文档进入系统后，先由解析预处理工具完成PDF转PNG、目录类文档转Markdown等格式转换，再进入版面检测与信息抽取；格式转换属于工具能力，不单独定义为审查智能体。形式审查规则技能以结构化方式注册入库，校验时由规则引擎按技能描述执行集合差、等值、连续号等判定。</w:t>
      </w:r>
    </w:p>
    <w:p>
      <w:pPr>
        <w:pStyle w:val="Heading2"/>
        <w:spacing w:after="160" w:before="200" w:line="300" w:lineRule="auto"/>
      </w:pPr>
      <w:r>
        <w:rPr>
          <w:rFonts w:ascii="黑体" w:hAnsi="黑体" w:eastAsia="黑体"/>
          <w:b/>
          <w:sz w:val="28"/>
        </w:rPr>
        <w:t>3.2 工艺自控流程图（P&amp;ID）深度审查</w:t>
      </w:r>
    </w:p>
    <w:p>
      <w:pPr>
        <w:spacing w:after="120" w:before="0" w:line="300" w:lineRule="auto"/>
        <w:ind w:firstLine="420"/>
      </w:pPr>
      <w:r>
        <w:rPr>
          <w:rFonts w:ascii="宋体" w:hAnsi="宋体" w:eastAsia="宋体"/>
          <w:b w:val="0"/>
          <w:sz w:val="24"/>
        </w:rPr>
        <w:t>P&amp;ID图纸符号密集、管线交错，审查核心是拓扑逻辑（连通性、流向、设备上下游关系）而非像素本身。传统“目标检测+后处理连线”的多阶段方案，符号检测误差会沿管线连接环节逐级放大，累积误差显著。</w:t>
      </w:r>
    </w:p>
    <w:p>
      <w:pPr>
        <w:spacing w:after="120" w:before="0" w:line="300" w:lineRule="auto"/>
        <w:ind w:firstLine="420"/>
      </w:pPr>
      <w:r>
        <w:rPr>
          <w:rFonts w:ascii="宋体" w:hAnsi="宋体" w:eastAsia="宋体"/>
          <w:b w:val="0"/>
          <w:sz w:val="24"/>
        </w:rPr>
        <w:t>本项目采用Image-to-Graph端到端模型——基于Swin Transformer视觉编码器提取图像全局特征，经Transformer解码器直接生成图的邻接矩阵和节点属性序列，实现“像素→图结构”的一步到位预测。节点涵盖阀门、仪表、设备等，属性包含类型、位号、DN尺寸、PN等级等；边表示管线或信号连接。图结构存入图数据库后，P&amp;ID审查规则转换智能体将自然语言规则自动转化为Cypher等图查询语句，利用图遍历完成上下游连通性、介质流向、孤立节点等拓扑逻辑校验。</w:t>
      </w:r>
    </w:p>
    <w:p>
      <w:pPr>
        <w:spacing w:after="120" w:before="0" w:line="300" w:lineRule="auto"/>
        <w:ind w:firstLine="420"/>
      </w:pPr>
      <w:r>
        <w:rPr>
          <w:rFonts w:ascii="宋体" w:hAnsi="宋体" w:eastAsia="宋体"/>
          <w:b w:val="0"/>
          <w:sz w:val="24"/>
        </w:rPr>
        <w:t>技术优势：端到端方案规避多阶段累积误差；图数据库支撑毫秒级复杂拓扑查询；新增拓扑类审查规则无需重新训练模型，扩展成本低。</w:t>
      </w:r>
    </w:p>
    <w:p>
      <w:pPr>
        <w:spacing w:after="120" w:before="0" w:line="300" w:lineRule="auto"/>
        <w:ind w:firstLine="420"/>
      </w:pPr>
      <w:r>
        <w:rPr>
          <w:rFonts w:ascii="宋体" w:hAnsi="宋体" w:eastAsia="宋体"/>
          <w:b w:val="0"/>
          <w:sz w:val="24"/>
        </w:rPr>
        <w:t>工程实现补充：跨图关联审查（流程与平面、设备表、说明书、计算书等一致性）在同一执行体系下通过跨图工件与审查技能扩展实现，不另行建设独立总控系统。</w:t>
      </w:r>
    </w:p>
    <w:p>
      <w:pPr>
        <w:pStyle w:val="Heading2"/>
        <w:spacing w:after="160" w:before="200" w:line="300" w:lineRule="auto"/>
      </w:pPr>
      <w:r>
        <w:rPr>
          <w:rFonts w:ascii="黑体" w:hAnsi="黑体" w:eastAsia="黑体"/>
          <w:b/>
          <w:sz w:val="28"/>
        </w:rPr>
        <w:t>3.3 总平面布置图深度审查</w:t>
      </w:r>
    </w:p>
    <w:p>
      <w:pPr>
        <w:spacing w:after="120" w:before="0" w:line="300" w:lineRule="auto"/>
        <w:ind w:firstLine="420"/>
      </w:pPr>
      <w:r>
        <w:rPr>
          <w:rFonts w:ascii="宋体" w:hAnsi="宋体" w:eastAsia="宋体"/>
          <w:b w:val="0"/>
          <w:sz w:val="24"/>
        </w:rPr>
        <w:t>总平面布置图审查的核心是空间距离合规性（如防火间距），需要高精度坐标计算。CV能识别图元类型，但无法替代CAD做精确几何量测；CAD能精确计算，但无法自主理解语义——两者缺一不可。</w:t>
      </w:r>
    </w:p>
    <w:p>
      <w:pPr>
        <w:spacing w:after="120" w:before="0" w:line="300" w:lineRule="auto"/>
        <w:ind w:firstLine="420"/>
      </w:pPr>
      <w:r>
        <w:rPr>
          <w:rFonts w:ascii="宋体" w:hAnsi="宋体" w:eastAsia="宋体"/>
          <w:b w:val="0"/>
          <w:sz w:val="24"/>
        </w:rPr>
        <w:t>系统采用CV+CAD协同闭环。首先，总图审查规则转换智能体将自然语言规则解析为：涉及图元类型、空间计算指令、阈值条件；然后通过MCP协议操控CAD软件打开DWG文件，筛选目标图层并隔离导出单图层PNG，保证图像与CAD坐标精确对齐；CV引擎结合图例语义描述识别图元轮廓并反馈坐标给CAD引擎；CAD执行精确距离/面积量测，返回数值与阈值比较，输出审查结论。</w:t>
      </w:r>
    </w:p>
    <w:p>
      <w:pPr>
        <w:spacing w:after="120" w:before="0" w:line="300" w:lineRule="auto"/>
        <w:ind w:firstLine="420"/>
      </w:pPr>
      <w:r>
        <w:rPr>
          <w:rFonts w:ascii="宋体" w:hAnsi="宋体" w:eastAsia="宋体"/>
          <w:b w:val="0"/>
          <w:sz w:val="24"/>
        </w:rPr>
        <w:t>技术优势：CV负责“懂”，CAD负责“准”，通过标准化协议协同，同时解决语义理解与精密计算两大难题。</w:t>
      </w:r>
    </w:p>
    <w:p>
      <w:pPr>
        <w:spacing w:after="120" w:before="0" w:line="300" w:lineRule="auto"/>
        <w:ind w:firstLine="420"/>
      </w:pPr>
      <w:r>
        <w:rPr>
          <w:rFonts w:ascii="宋体" w:hAnsi="宋体" w:eastAsia="宋体"/>
          <w:b w:val="0"/>
          <w:sz w:val="24"/>
        </w:rPr>
        <w:t>工程实现补充：竖向、管综、道路、消防等超出投标典型总平面范围的审查内容，按合同约定的实施阶段纳入，不改变本路径的技术原理。</w:t>
      </w:r>
    </w:p>
    <w:p>
      <w:pPr>
        <w:pStyle w:val="Heading1"/>
        <w:spacing w:after="160" w:before="280" w:line="300" w:lineRule="auto"/>
      </w:pPr>
      <w:r>
        <w:rPr>
          <w:rFonts w:ascii="黑体" w:hAnsi="黑体" w:eastAsia="黑体"/>
          <w:b/>
          <w:sz w:val="32"/>
        </w:rPr>
        <w:t>4 AI模型的构建与训练</w:t>
      </w:r>
    </w:p>
    <w:p>
      <w:pPr>
        <w:spacing w:after="120" w:before="0" w:line="300" w:lineRule="auto"/>
        <w:ind w:firstLine="420"/>
      </w:pPr>
      <w:r>
        <w:rPr>
          <w:rFonts w:ascii="宋体" w:hAnsi="宋体" w:eastAsia="宋体"/>
          <w:b w:val="0"/>
          <w:sz w:val="24"/>
        </w:rPr>
        <w:t>本项目智能审查能力依托多个AI模型协同工作。需完成基于PP-DocLayoutV3的图纸布局分割模型、基于Qwen3.8的多模态大模型、以及Image-to-Graph端到端拓扑生成模型的构建与训练，共同构成从“像素感知”到“语义理解”再到“结构推理”的完整链路。</w:t>
      </w:r>
    </w:p>
    <w:p>
      <w:pPr>
        <w:pStyle w:val="Heading2"/>
        <w:spacing w:after="160" w:before="200" w:line="300" w:lineRule="auto"/>
      </w:pPr>
      <w:r>
        <w:rPr>
          <w:rFonts w:ascii="黑体" w:hAnsi="黑体" w:eastAsia="黑体"/>
          <w:b/>
          <w:sz w:val="28"/>
        </w:rPr>
        <w:t>4.1 PP-DocLayoutV3图纸布局分割模型</w:t>
      </w:r>
    </w:p>
    <w:p>
      <w:pPr>
        <w:spacing w:after="120" w:before="0" w:line="300" w:lineRule="auto"/>
        <w:ind w:firstLine="420"/>
      </w:pPr>
      <w:r>
        <w:rPr>
          <w:rFonts w:ascii="宋体" w:hAnsi="宋体" w:eastAsia="宋体"/>
          <w:b w:val="0"/>
          <w:sz w:val="24"/>
        </w:rPr>
        <w:t>本项目选用百度飞桨团队开源的PP-DocLayoutV3作为图纸布局分割基座模型。该模型是文档智能领域统一布局分析引擎，与工程图纸版面分析需求高度契合。其主要技术特点包括：采用实例分割替代轴对齐矩形检测，输出像素级掩码与多边形边界，适配倾斜、变形图纸；通过Transformer解码器全局指针机制联合预测阅读顺序；检测、分割与阅读顺序端到端联合学习，消除级联误差；采用Apache 2.0开源协议，满足商业部署与知识产权归招标人的要求。</w:t>
      </w:r>
    </w:p>
    <w:p>
      <w:pPr>
        <w:spacing w:after="120" w:before="0" w:line="300" w:lineRule="auto"/>
        <w:ind w:firstLine="420"/>
      </w:pPr>
      <w:r>
        <w:rPr>
          <w:rFonts w:ascii="宋体" w:hAnsi="宋体" w:eastAsia="宋体"/>
          <w:b w:val="0"/>
          <w:sz w:val="24"/>
        </w:rPr>
        <w:t>网络结构基于RT-DETR框架，骨干网络采用PPHGNetV2-L，配合Transformer编码器—解码器与实例分割预测头。本项目定义四类检测目标：主图区域、图例区域、标题栏区域、辅助说明区域，对应形式审查所需提取的信息字段。</w:t>
      </w:r>
    </w:p>
    <w:p>
      <w:pPr>
        <w:spacing w:after="120" w:before="0" w:line="300" w:lineRule="auto"/>
        <w:ind w:firstLine="420"/>
      </w:pPr>
      <w:r>
        <w:rPr>
          <w:rFonts w:ascii="宋体" w:hAnsi="宋体" w:eastAsia="宋体"/>
          <w:b w:val="0"/>
          <w:sz w:val="24"/>
        </w:rPr>
        <w:t>训练方面，基于甲方真实工程图纸进行领域微调；标注采用CVAT或LabelMe进行多边形与掩码标注；计划构建不少于100张标注图纸，按8:1:1划分训练/验证/测试集，并结合旋转、缩放、扫描劣化等增强策略；训练采用全参数微调与LoRA相结合的策略，基于PaddlePaddle与PaddleDetection流水线实施。</w:t>
      </w:r>
    </w:p>
    <w:p>
      <w:pPr>
        <w:pStyle w:val="Heading2"/>
        <w:spacing w:after="160" w:before="200" w:line="300" w:lineRule="auto"/>
      </w:pPr>
      <w:r>
        <w:rPr>
          <w:rFonts w:ascii="黑体" w:hAnsi="黑体" w:eastAsia="黑体"/>
          <w:b/>
          <w:sz w:val="28"/>
        </w:rPr>
        <w:t>4.2 多模态大模型（Qwen3.8）构建与微调</w:t>
      </w:r>
    </w:p>
    <w:p>
      <w:pPr>
        <w:spacing w:after="120" w:before="0" w:line="300" w:lineRule="auto"/>
        <w:ind w:firstLine="420"/>
      </w:pPr>
      <w:r>
        <w:rPr>
          <w:rFonts w:ascii="宋体" w:hAnsi="宋体" w:eastAsia="宋体"/>
          <w:b w:val="0"/>
          <w:sz w:val="24"/>
        </w:rPr>
        <w:t>本项目选用通义千问开源的Qwen3.8-27B作为多模态大模型基座。该模型为原生多模态稠密架构，参数量270亿，基于Apache-2.0协议，支持私有化部署，满足信创与数据安全要求。模型具备超长上下文能力与较强的指令遵循、复杂推理能力，适用于图文耦合的图纸审查场景。</w:t>
      </w:r>
    </w:p>
    <w:p>
      <w:pPr>
        <w:spacing w:after="120" w:before="0" w:line="300" w:lineRule="auto"/>
        <w:ind w:firstLine="420"/>
      </w:pPr>
      <w:r>
        <w:rPr>
          <w:rFonts w:ascii="宋体" w:hAnsi="宋体" w:eastAsia="宋体"/>
          <w:b w:val="0"/>
          <w:sz w:val="24"/>
        </w:rPr>
        <w:t>需对基座模型开展四个方向的指令微调：</w:t>
      </w:r>
    </w:p>
    <w:p>
      <w:pPr>
        <w:pStyle w:val="ListBullet"/>
        <w:spacing w:after="60" w:before="0" w:line="300" w:lineRule="auto"/>
      </w:pPr>
      <w:r>
        <w:rPr>
          <w:rFonts w:ascii="宋体" w:hAnsi="宋体" w:eastAsia="宋体"/>
          <w:b w:val="0"/>
          <w:sz w:val="24"/>
        </w:rPr>
        <w:t>标题栏信息提取：裁剪后的标题栏图像 → 结构化JSON（图号、名称、比例、项目号、阶段、日期等）；</w:t>
      </w:r>
    </w:p>
    <w:p>
      <w:pPr>
        <w:pStyle w:val="ListBullet"/>
        <w:spacing w:after="60" w:before="0" w:line="300" w:lineRule="auto"/>
      </w:pPr>
      <w:r>
        <w:rPr>
          <w:rFonts w:ascii="宋体" w:hAnsi="宋体" w:eastAsia="宋体"/>
          <w:b w:val="0"/>
          <w:sz w:val="24"/>
        </w:rPr>
        <w:t>图例语义理解：图例区域图像 → 形状、填充、标注、连接点等语义描述；</w:t>
      </w:r>
    </w:p>
    <w:p>
      <w:pPr>
        <w:pStyle w:val="ListBullet"/>
        <w:spacing w:after="60" w:before="0" w:line="300" w:lineRule="auto"/>
      </w:pPr>
      <w:r>
        <w:rPr>
          <w:rFonts w:ascii="宋体" w:hAnsi="宋体" w:eastAsia="宋体"/>
          <w:b w:val="0"/>
          <w:sz w:val="24"/>
        </w:rPr>
        <w:t>总平面构件识别：总图全图或分区 → 建构筑物、道路、管线、红线、序号与坐标等结构化信息；</w:t>
      </w:r>
    </w:p>
    <w:p>
      <w:pPr>
        <w:pStyle w:val="ListBullet"/>
        <w:spacing w:after="60" w:before="0" w:line="300" w:lineRule="auto"/>
      </w:pPr>
      <w:r>
        <w:rPr>
          <w:rFonts w:ascii="宋体" w:hAnsi="宋体" w:eastAsia="宋体"/>
          <w:b w:val="0"/>
          <w:sz w:val="24"/>
        </w:rPr>
        <w:t>规则转换：自然语言审查规则 → 机器可执行技能描述（审查主体、字段/图元、范围、判定逻辑、阈值等）。</w:t>
      </w:r>
    </w:p>
    <w:p>
      <w:pPr>
        <w:spacing w:after="120" w:before="0" w:line="300" w:lineRule="auto"/>
        <w:ind w:firstLine="420"/>
      </w:pPr>
      <w:r>
        <w:rPr>
          <w:rFonts w:ascii="宋体" w:hAnsi="宋体" w:eastAsia="宋体"/>
          <w:b w:val="0"/>
          <w:sz w:val="24"/>
        </w:rPr>
        <w:t>微调采用LoRA等参数高效方案，训练数据规模与划分比例按投标技术方案执行。</w:t>
      </w:r>
    </w:p>
    <w:p>
      <w:pPr>
        <w:pStyle w:val="Heading2"/>
        <w:spacing w:after="160" w:before="200" w:line="300" w:lineRule="auto"/>
      </w:pPr>
      <w:r>
        <w:rPr>
          <w:rFonts w:ascii="黑体" w:hAnsi="黑体" w:eastAsia="黑体"/>
          <w:b/>
          <w:sz w:val="28"/>
        </w:rPr>
        <w:t>4.3 Image-to-Graph端到端模型</w:t>
      </w:r>
    </w:p>
    <w:p>
      <w:pPr>
        <w:spacing w:after="120" w:before="0" w:line="300" w:lineRule="auto"/>
        <w:ind w:firstLine="420"/>
      </w:pPr>
      <w:r>
        <w:rPr>
          <w:rFonts w:ascii="宋体" w:hAnsi="宋体" w:eastAsia="宋体"/>
          <w:b w:val="0"/>
          <w:sz w:val="24"/>
        </w:rPr>
        <w:t>针对P&amp;ID拓扑提取，引入基于Transformer的Image-to-Graph架构，将解析定义为图像到属性有向图的生成问题。视觉编码器采用Swin Transformer，图解码器以对象查询与关系查询交互生成节点与边；多任务头分别完成符号检测、关系预测与属性解码。模型输出直接兼容图数据库导入。训练采用检测头与关系头先分后合的两阶段策略，并结合拓扑保持的合成数据增强。推理服务部署于GPU，预处理后输出图结构写入图库，供拓扑审查查询使用。</w:t>
      </w:r>
    </w:p>
    <w:p>
      <w:pPr>
        <w:pStyle w:val="Heading1"/>
        <w:spacing w:after="160" w:before="280" w:line="300" w:lineRule="auto"/>
      </w:pPr>
      <w:r>
        <w:rPr>
          <w:rFonts w:ascii="黑体" w:hAnsi="黑体" w:eastAsia="黑体"/>
          <w:b/>
          <w:sz w:val="32"/>
        </w:rPr>
        <w:t>5 总体架构</w:t>
      </w:r>
    </w:p>
    <w:p>
      <w:pPr>
        <w:spacing w:after="120" w:before="0" w:line="300" w:lineRule="auto"/>
        <w:ind w:firstLine="420"/>
      </w:pPr>
      <w:r>
        <w:rPr>
          <w:rFonts w:ascii="宋体" w:hAnsi="宋体" w:eastAsia="宋体"/>
          <w:b w:val="0"/>
          <w:sz w:val="24"/>
        </w:rPr>
        <w:t>总体架构遵循“分层解耦、智能协同、持续演进”理念，自下而上划分为资源层、数据层、AI引擎层、智能体层、服务层与展现层。各层通过标准化接口交互，下层为上层提供能力抽象；底层技术升级时上层业务逻辑尽量不受影响。</w:t>
      </w:r>
    </w:p>
    <w:p>
      <w:pPr>
        <w:pStyle w:val="Heading2"/>
        <w:spacing w:after="160" w:before="200" w:line="300" w:lineRule="auto"/>
      </w:pPr>
      <w:r>
        <w:rPr>
          <w:rFonts w:ascii="黑体" w:hAnsi="黑体" w:eastAsia="黑体"/>
          <w:b/>
          <w:sz w:val="28"/>
        </w:rPr>
        <w:t>5.1 资源层</w:t>
      </w:r>
    </w:p>
    <w:p>
      <w:pPr>
        <w:spacing w:after="120" w:before="0" w:line="300" w:lineRule="auto"/>
        <w:ind w:firstLine="420"/>
      </w:pPr>
      <w:r>
        <w:rPr>
          <w:rFonts w:ascii="宋体" w:hAnsi="宋体" w:eastAsia="宋体"/>
          <w:b w:val="0"/>
          <w:sz w:val="24"/>
        </w:rPr>
        <w:t>资源层提供算力与存储基座。计算资源采用GPU与CPU异构：GPU承担布局分割、多模态推理、Image-to-Graph等AI任务；CPU承担业务逻辑、规则引擎与报告生成。存储采用对象存储、块存储与文件存储相结合，图纸与中间件入对象存储，数据库持久化使用块存储。系统部署于甲方内网，关键接口HTTPS，敏感数据加密，支持容器化编排，为不少于20路并发审查提供弹性能力。</w:t>
      </w:r>
    </w:p>
    <w:p>
      <w:pPr>
        <w:pStyle w:val="Heading2"/>
        <w:spacing w:after="160" w:before="200" w:line="300" w:lineRule="auto"/>
      </w:pPr>
      <w:r>
        <w:rPr>
          <w:rFonts w:ascii="黑体" w:hAnsi="黑体" w:eastAsia="黑体"/>
          <w:b/>
          <w:sz w:val="28"/>
        </w:rPr>
        <w:t>5.2 数据层</w:t>
      </w:r>
    </w:p>
    <w:p>
      <w:pPr>
        <w:spacing w:after="120" w:before="0" w:line="300" w:lineRule="auto"/>
        <w:ind w:firstLine="420"/>
      </w:pPr>
      <w:r>
        <w:rPr>
          <w:rFonts w:ascii="宋体" w:hAnsi="宋体" w:eastAsia="宋体"/>
          <w:b w:val="0"/>
          <w:sz w:val="24"/>
        </w:rPr>
        <w:t>数据层采用多模融合策略：图纸文件库基于对象存储，按项目—专业—图纸组织；关系数据库承载用户权限、任务状态、报告清单、规则元数据与审计日志（开发阶段可采用MySQL，验收前按要求迁移国产数据库）；图数据库存储P&amp;ID拓扑，支撑多跳连通与流向类查询；规则库存储经规则转换智能体处理后的机器可执行审查规则（Skills），包含规则编号、类型、适用图纸、自然语言原文、结构化技能、规范条款、版本与生效状态等字段。</w:t>
      </w:r>
    </w:p>
    <w:p>
      <w:pPr>
        <w:pStyle w:val="Heading2"/>
        <w:spacing w:after="160" w:before="200" w:line="300" w:lineRule="auto"/>
      </w:pPr>
      <w:r>
        <w:rPr>
          <w:rFonts w:ascii="黑体" w:hAnsi="黑体" w:eastAsia="黑体"/>
          <w:b/>
          <w:sz w:val="28"/>
        </w:rPr>
        <w:t>5.3 AI引擎层</w:t>
      </w:r>
    </w:p>
    <w:p>
      <w:pPr>
        <w:spacing w:after="120" w:before="0" w:line="300" w:lineRule="auto"/>
        <w:ind w:firstLine="420"/>
      </w:pPr>
      <w:r>
        <w:rPr>
          <w:rFonts w:ascii="宋体" w:hAnsi="宋体" w:eastAsia="宋体"/>
          <w:b w:val="0"/>
          <w:sz w:val="24"/>
        </w:rPr>
        <w:t>AI引擎层构成从像素输入到结构化知识输出的推理链条，主要包括：</w:t>
      </w:r>
    </w:p>
    <w:p>
      <w:pPr>
        <w:pStyle w:val="ListBullet"/>
        <w:spacing w:after="60" w:before="0" w:line="300" w:lineRule="auto"/>
      </w:pPr>
      <w:r>
        <w:rPr>
          <w:rFonts w:ascii="宋体" w:hAnsi="宋体" w:eastAsia="宋体"/>
          <w:b w:val="0"/>
          <w:sz w:val="24"/>
        </w:rPr>
        <w:t>布局分割引擎（PP-DocLayoutV3）：区域级语义分割，输出标题栏、图例、主图、说明等区域；</w:t>
      </w:r>
    </w:p>
    <w:p>
      <w:pPr>
        <w:pStyle w:val="ListBullet"/>
        <w:spacing w:after="60" w:before="0" w:line="300" w:lineRule="auto"/>
      </w:pPr>
      <w:r>
        <w:rPr>
          <w:rFonts w:ascii="宋体" w:hAnsi="宋体" w:eastAsia="宋体"/>
          <w:b w:val="0"/>
          <w:sz w:val="24"/>
        </w:rPr>
        <w:t>多模态大模型引擎（Qwen3.8）：标题栏抽取、图例语义、图元与文本理解等；</w:t>
      </w:r>
    </w:p>
    <w:p>
      <w:pPr>
        <w:pStyle w:val="ListBullet"/>
        <w:spacing w:after="60" w:before="0" w:line="300" w:lineRule="auto"/>
      </w:pPr>
      <w:r>
        <w:rPr>
          <w:rFonts w:ascii="宋体" w:hAnsi="宋体" w:eastAsia="宋体"/>
          <w:b w:val="0"/>
          <w:sz w:val="24"/>
        </w:rPr>
        <w:t>Image-to-Graph引擎：P&amp;ID像素到拓扑图结构；</w:t>
      </w:r>
    </w:p>
    <w:p>
      <w:pPr>
        <w:pStyle w:val="ListBullet"/>
        <w:spacing w:after="60" w:before="0" w:line="300" w:lineRule="auto"/>
      </w:pPr>
      <w:r>
        <w:rPr>
          <w:rFonts w:ascii="宋体" w:hAnsi="宋体" w:eastAsia="宋体"/>
          <w:b w:val="0"/>
          <w:sz w:val="24"/>
        </w:rPr>
        <w:t>规则转换模型：自然语言规则到机器可执行逻辑。</w:t>
      </w:r>
    </w:p>
    <w:p>
      <w:pPr>
        <w:pStyle w:val="Heading2"/>
        <w:spacing w:after="160" w:before="200" w:line="300" w:lineRule="auto"/>
      </w:pPr>
      <w:r>
        <w:rPr>
          <w:rFonts w:ascii="黑体" w:hAnsi="黑体" w:eastAsia="黑体"/>
          <w:b/>
          <w:sz w:val="28"/>
        </w:rPr>
        <w:t>5.4 智能体层</w:t>
      </w:r>
    </w:p>
    <w:p>
      <w:pPr>
        <w:spacing w:after="120" w:before="0" w:line="300" w:lineRule="auto"/>
        <w:ind w:firstLine="420"/>
      </w:pPr>
      <w:r>
        <w:rPr>
          <w:rFonts w:ascii="宋体" w:hAnsi="宋体" w:eastAsia="宋体"/>
          <w:b w:val="0"/>
          <w:sz w:val="24"/>
        </w:rPr>
        <w:t>智能体层是系统业务大脑，基于LangGraph框架实现多智能体有状态编排与工作流控制。LangGraph将业务流程抽象为有向图，通过节点与边定义执行步骤与逻辑流。</w:t>
      </w:r>
    </w:p>
    <w:p>
      <w:pPr>
        <w:spacing w:after="120" w:before="0" w:line="300" w:lineRule="auto"/>
        <w:ind w:firstLine="420"/>
      </w:pPr>
      <w:r>
        <w:rPr>
          <w:rFonts w:ascii="宋体" w:hAnsi="宋体" w:eastAsia="宋体"/>
          <w:b w:val="0"/>
          <w:sz w:val="24"/>
        </w:rPr>
        <w:t>在LangGraph之上部署六类专业化智能体：</w:t>
      </w:r>
    </w:p>
    <w:p>
      <w:pPr>
        <w:pStyle w:val="ListBullet"/>
        <w:spacing w:after="60" w:before="0" w:line="300" w:lineRule="auto"/>
      </w:pPr>
      <w:r>
        <w:rPr>
          <w:rFonts w:ascii="宋体" w:hAnsi="宋体" w:eastAsia="宋体"/>
          <w:b w:val="0"/>
          <w:sz w:val="24"/>
        </w:rPr>
        <w:t>形式审查规则转换智能体：自然语言形式规则 → 结构化技能描述；</w:t>
      </w:r>
    </w:p>
    <w:p>
      <w:pPr>
        <w:pStyle w:val="ListBullet"/>
        <w:spacing w:after="60" w:before="0" w:line="300" w:lineRule="auto"/>
      </w:pPr>
      <w:r>
        <w:rPr>
          <w:rFonts w:ascii="宋体" w:hAnsi="宋体" w:eastAsia="宋体"/>
          <w:b w:val="0"/>
          <w:sz w:val="24"/>
        </w:rPr>
        <w:t>P&amp;ID审查规则转换智能体：自然语言P&amp;ID规则 → 图查询与判定逻辑（含Cypher）；</w:t>
      </w:r>
    </w:p>
    <w:p>
      <w:pPr>
        <w:pStyle w:val="ListBullet"/>
        <w:spacing w:after="60" w:before="0" w:line="300" w:lineRule="auto"/>
      </w:pPr>
      <w:r>
        <w:rPr>
          <w:rFonts w:ascii="宋体" w:hAnsi="宋体" w:eastAsia="宋体"/>
          <w:b w:val="0"/>
          <w:sz w:val="24"/>
        </w:rPr>
        <w:t>总图审查规则转换智能体：自然语言总图规则 → CV识别与CAD空间计算指令；</w:t>
      </w:r>
    </w:p>
    <w:p>
      <w:pPr>
        <w:pStyle w:val="ListBullet"/>
        <w:spacing w:after="60" w:before="0" w:line="300" w:lineRule="auto"/>
      </w:pPr>
      <w:r>
        <w:rPr>
          <w:rFonts w:ascii="宋体" w:hAnsi="宋体" w:eastAsia="宋体"/>
          <w:b w:val="0"/>
          <w:sz w:val="24"/>
        </w:rPr>
        <w:t>形式审查智能体：标题栏完整性与格式、错别字与单位、跨图一致性、图号连续、目录对应等；</w:t>
      </w:r>
    </w:p>
    <w:p>
      <w:pPr>
        <w:pStyle w:val="ListBullet"/>
        <w:spacing w:after="60" w:before="0" w:line="300" w:lineRule="auto"/>
      </w:pPr>
      <w:r>
        <w:rPr>
          <w:rFonts w:ascii="宋体" w:hAnsi="宋体" w:eastAsia="宋体"/>
          <w:b w:val="0"/>
          <w:sz w:val="24"/>
        </w:rPr>
        <w:t>P&amp;ID审查智能体：图结构化、位号一致、阀门错位与流向、孤立节点、图例合规等；</w:t>
      </w:r>
    </w:p>
    <w:p>
      <w:pPr>
        <w:pStyle w:val="ListBullet"/>
        <w:spacing w:after="60" w:before="0" w:line="300" w:lineRule="auto"/>
      </w:pPr>
      <w:r>
        <w:rPr>
          <w:rFonts w:ascii="宋体" w:hAnsi="宋体" w:eastAsia="宋体"/>
          <w:b w:val="0"/>
          <w:sz w:val="24"/>
        </w:rPr>
        <w:t>总图审查智能体：说明与一览表、图例合规、CV+CAD空间合规（防火/防爆/环保等）。</w:t>
      </w:r>
    </w:p>
    <w:p>
      <w:pPr>
        <w:spacing w:after="120" w:before="0" w:line="300" w:lineRule="auto"/>
        <w:ind w:firstLine="420"/>
      </w:pPr>
      <w:r>
        <w:rPr>
          <w:rFonts w:ascii="宋体" w:hAnsi="宋体" w:eastAsia="宋体"/>
          <w:b w:val="0"/>
          <w:sz w:val="24"/>
        </w:rPr>
        <w:t>六类智能体通过LangGraph工作流图统一编排，支持串行、并行与条件分支，形成“规则输入→审查执行→结果输出”闭环。</w:t>
      </w:r>
    </w:p>
    <w:p>
      <w:pPr>
        <w:pStyle w:val="Heading3"/>
        <w:spacing w:after="160" w:before="200" w:line="300" w:lineRule="auto"/>
      </w:pPr>
      <w:r>
        <w:rPr>
          <w:rFonts w:ascii="黑体" w:hAnsi="黑体" w:eastAsia="黑体"/>
          <w:b/>
          <w:sz w:val="24"/>
        </w:rPr>
        <w:t>5.4.1 运行时工作流与审查技能（实现细化）</w:t>
      </w:r>
    </w:p>
    <w:p>
      <w:pPr>
        <w:spacing w:after="120" w:before="0" w:line="300" w:lineRule="auto"/>
        <w:ind w:firstLine="420"/>
      </w:pPr>
      <w:r>
        <w:rPr>
          <w:rFonts w:ascii="宋体" w:hAnsi="宋体" w:eastAsia="宋体"/>
          <w:b w:val="0"/>
          <w:sz w:val="24"/>
        </w:rPr>
        <w:t>为保障工程可维护性与审查点可扩展性，系统在落地实现上将日常审图与规则入库区分开来：</w:t>
      </w:r>
    </w:p>
    <w:p>
      <w:pPr>
        <w:pStyle w:val="ListBullet"/>
        <w:spacing w:after="60" w:before="0" w:line="300" w:lineRule="auto"/>
      </w:pPr>
      <w:r>
        <w:rPr>
          <w:rFonts w:ascii="宋体" w:hAnsi="宋体" w:eastAsia="宋体"/>
          <w:b w:val="0"/>
          <w:sz w:val="24"/>
        </w:rPr>
        <w:t>规则入库（编译过程）：由三类规则转换智能体将自然语言转换为可执行技能，经人工确认与回归后写入规则库/工作流注册中心；</w:t>
      </w:r>
    </w:p>
    <w:p>
      <w:pPr>
        <w:pStyle w:val="ListBullet"/>
        <w:spacing w:after="60" w:before="0" w:line="300" w:lineRule="auto"/>
      </w:pPr>
      <w:r>
        <w:rPr>
          <w:rFonts w:ascii="宋体" w:hAnsi="宋体" w:eastAsia="宋体"/>
          <w:b w:val="0"/>
          <w:sz w:val="24"/>
        </w:rPr>
        <w:t>日常审图（执行过程）：由固定编排流程驱动——图纸解析预处理 → 布局检测 → 信息抽取 → 按已注册审查技能执行校验 → 结果校验与报告汇聚。</w:t>
      </w:r>
    </w:p>
    <w:p>
      <w:pPr>
        <w:spacing w:after="120" w:before="0" w:line="300" w:lineRule="auto"/>
        <w:ind w:firstLine="420"/>
      </w:pPr>
      <w:r>
        <w:rPr>
          <w:rFonts w:ascii="宋体" w:hAnsi="宋体" w:eastAsia="宋体"/>
          <w:b w:val="0"/>
          <w:sz w:val="24"/>
        </w:rPr>
        <w:t>每一条审查点对应规则库中的一条可执行技能（含所需工件与检查项）。工作流负责调度“调用哪些能力”，技能负责描述“检查哪些字段、采用何种判定”。客户变更规则时，更新技能描述并回归验证即可，无需修改编排拓扑。已在资料清单与投标中明确的审查点，开发阶段可直接编制技能入库；规则转换智能体继续保留，满足甲方规则自建与持续演进要求。</w:t>
      </w:r>
    </w:p>
    <w:p>
      <w:pPr>
        <w:spacing w:after="120" w:before="0" w:line="300" w:lineRule="auto"/>
        <w:ind w:firstLine="420"/>
      </w:pPr>
      <w:r>
        <w:rPr>
          <w:rFonts w:ascii="宋体" w:hAnsi="宋体" w:eastAsia="宋体"/>
          <w:b w:val="0"/>
          <w:sz w:val="24"/>
        </w:rPr>
        <w:t>系统同时建立智能体注册、工具注册与工作流（审查点）注册三类注册中心，新增能力以注册方式扩展，禁止为单一审查点另建总控或重复实现检测抽取。</w:t>
      </w:r>
    </w:p>
    <w:p>
      <w:pPr>
        <w:pStyle w:val="Heading2"/>
        <w:spacing w:after="160" w:before="200" w:line="300" w:lineRule="auto"/>
      </w:pPr>
      <w:r>
        <w:rPr>
          <w:rFonts w:ascii="黑体" w:hAnsi="黑体" w:eastAsia="黑体"/>
          <w:b/>
          <w:sz w:val="28"/>
        </w:rPr>
        <w:t>5.5 服务层</w:t>
      </w:r>
    </w:p>
    <w:p>
      <w:pPr>
        <w:spacing w:after="120" w:before="0" w:line="300" w:lineRule="auto"/>
        <w:ind w:firstLine="420"/>
      </w:pPr>
      <w:r>
        <w:rPr>
          <w:rFonts w:ascii="宋体" w:hAnsi="宋体" w:eastAsia="宋体"/>
          <w:b w:val="0"/>
          <w:sz w:val="24"/>
        </w:rPr>
        <w:t>服务层提供标准化API与微服务，遵循RESTful与OpenAPI 3.0。主要服务包括：图纸解析服务、审查任务调度服务（基于XXL-Job等，状态经Redis缓存，进度经WebSocket推送）、规则管理服务（全生命周期、生效前回归）、报告生成服务（Web/PDF/Excel及图面跳转高亮）、用户权限服务（Spring Security + JWT，RBAC，可对接SSO/LDAP）、接口对接服务（二维协同“推送→审查→回写”闭环）。</w:t>
      </w:r>
    </w:p>
    <w:p>
      <w:pPr>
        <w:spacing w:after="120" w:before="0" w:line="300" w:lineRule="auto"/>
        <w:ind w:firstLine="420"/>
      </w:pPr>
      <w:r>
        <w:rPr>
          <w:rFonts w:ascii="宋体" w:hAnsi="宋体" w:eastAsia="宋体"/>
          <w:b w:val="0"/>
          <w:sz w:val="24"/>
        </w:rPr>
        <w:t>工程实现补充：业务后端负责任务、权限、落库与外部集成，通过统一任务接口调用智能体运行时；审查算法不在业务后端内实现。前端门户负责交互展示，不直接调用大模型或检测服务。</w:t>
      </w:r>
    </w:p>
    <w:p>
      <w:pPr>
        <w:pStyle w:val="Heading2"/>
        <w:spacing w:after="160" w:before="200" w:line="300" w:lineRule="auto"/>
      </w:pPr>
      <w:r>
        <w:rPr>
          <w:rFonts w:ascii="黑体" w:hAnsi="黑体" w:eastAsia="黑体"/>
          <w:b/>
          <w:sz w:val="28"/>
        </w:rPr>
        <w:t>5.6 展现层</w:t>
      </w:r>
    </w:p>
    <w:p>
      <w:pPr>
        <w:spacing w:after="120" w:before="0" w:line="300" w:lineRule="auto"/>
        <w:ind w:firstLine="420"/>
      </w:pPr>
      <w:r>
        <w:rPr>
          <w:rFonts w:ascii="宋体" w:hAnsi="宋体" w:eastAsia="宋体"/>
          <w:b w:val="0"/>
          <w:sz w:val="24"/>
        </w:rPr>
        <w:t>展现层采用Vue 3技术栈构建Web门户，提供任务创建与进度、图纸预览与问题高亮、规则管理、人工复核、统计分析等功能，满足审查人员日常作业与管理人员监督分析需要。</w:t>
      </w:r>
    </w:p>
    <w:p>
      <w:pPr>
        <w:pStyle w:val="Heading1"/>
        <w:spacing w:after="160" w:before="280" w:line="300" w:lineRule="auto"/>
      </w:pPr>
      <w:r>
        <w:rPr>
          <w:rFonts w:ascii="黑体" w:hAnsi="黑体" w:eastAsia="黑体"/>
          <w:b/>
          <w:sz w:val="32"/>
        </w:rPr>
        <w:t>6 功能架构</w:t>
      </w:r>
    </w:p>
    <w:p>
      <w:pPr>
        <w:spacing w:after="120" w:before="0" w:line="300" w:lineRule="auto"/>
        <w:ind w:firstLine="420"/>
      </w:pPr>
      <w:r>
        <w:rPr>
          <w:rFonts w:ascii="宋体" w:hAnsi="宋体" w:eastAsia="宋体"/>
          <w:b w:val="0"/>
          <w:sz w:val="24"/>
        </w:rPr>
        <w:t>系统功能架构与投标一致，主要包括：</w:t>
      </w:r>
    </w:p>
    <w:p>
      <w:pPr>
        <w:pStyle w:val="ListBullet"/>
        <w:spacing w:after="60" w:before="0" w:line="300" w:lineRule="auto"/>
      </w:pPr>
      <w:r>
        <w:rPr>
          <w:rFonts w:ascii="宋体" w:hAnsi="宋体" w:eastAsia="宋体"/>
          <w:b w:val="0"/>
          <w:sz w:val="24"/>
        </w:rPr>
        <w:t>审查规则库建设：自然语言配置、版本管理、转换入库、回归验证；</w:t>
      </w:r>
    </w:p>
    <w:p>
      <w:pPr>
        <w:pStyle w:val="ListBullet"/>
        <w:spacing w:after="60" w:before="0" w:line="300" w:lineRule="auto"/>
      </w:pPr>
      <w:r>
        <w:rPr>
          <w:rFonts w:ascii="宋体" w:hAnsi="宋体" w:eastAsia="宋体"/>
          <w:b w:val="0"/>
          <w:sz w:val="24"/>
        </w:rPr>
        <w:t>图纸解析与预处理：CAD/PDF解析、页面渲染、纠偏增强、版面分割；</w:t>
      </w:r>
    </w:p>
    <w:p>
      <w:pPr>
        <w:pStyle w:val="ListBullet"/>
        <w:spacing w:after="60" w:before="0" w:line="300" w:lineRule="auto"/>
      </w:pPr>
      <w:r>
        <w:rPr>
          <w:rFonts w:ascii="宋体" w:hAnsi="宋体" w:eastAsia="宋体"/>
          <w:b w:val="0"/>
          <w:sz w:val="24"/>
        </w:rPr>
        <w:t>形式审查与目录一致性审查；</w:t>
      </w:r>
    </w:p>
    <w:p>
      <w:pPr>
        <w:pStyle w:val="ListBullet"/>
        <w:spacing w:after="60" w:before="0" w:line="300" w:lineRule="auto"/>
      </w:pPr>
      <w:r>
        <w:rPr>
          <w:rFonts w:ascii="宋体" w:hAnsi="宋体" w:eastAsia="宋体"/>
          <w:b w:val="0"/>
          <w:sz w:val="24"/>
        </w:rPr>
        <w:t>工艺自控流程图智能审查（含关联审查能力）；</w:t>
      </w:r>
    </w:p>
    <w:p>
      <w:pPr>
        <w:pStyle w:val="ListBullet"/>
        <w:spacing w:after="60" w:before="0" w:line="300" w:lineRule="auto"/>
      </w:pPr>
      <w:r>
        <w:rPr>
          <w:rFonts w:ascii="宋体" w:hAnsi="宋体" w:eastAsia="宋体"/>
          <w:b w:val="0"/>
          <w:sz w:val="24"/>
        </w:rPr>
        <w:t>总平面布置图智能审查；</w:t>
      </w:r>
    </w:p>
    <w:p>
      <w:pPr>
        <w:pStyle w:val="ListBullet"/>
        <w:spacing w:after="60" w:before="0" w:line="300" w:lineRule="auto"/>
      </w:pPr>
      <w:r>
        <w:rPr>
          <w:rFonts w:ascii="宋体" w:hAnsi="宋体" w:eastAsia="宋体"/>
          <w:b w:val="0"/>
          <w:sz w:val="24"/>
        </w:rPr>
        <w:t>审查报告与结果管理、人工复核与反馈迭代；</w:t>
      </w:r>
    </w:p>
    <w:p>
      <w:pPr>
        <w:pStyle w:val="ListBullet"/>
        <w:spacing w:after="60" w:before="0" w:line="300" w:lineRule="auto"/>
      </w:pPr>
      <w:r>
        <w:rPr>
          <w:rFonts w:ascii="宋体" w:hAnsi="宋体" w:eastAsia="宋体"/>
          <w:b w:val="0"/>
          <w:sz w:val="24"/>
        </w:rPr>
        <w:t>系统管理与二维协同等外部集成。</w:t>
      </w:r>
    </w:p>
    <w:p>
      <w:pPr>
        <w:pStyle w:val="Heading1"/>
        <w:spacing w:after="160" w:before="280" w:line="300" w:lineRule="auto"/>
      </w:pPr>
      <w:r>
        <w:rPr>
          <w:rFonts w:ascii="黑体" w:hAnsi="黑体" w:eastAsia="黑体"/>
          <w:b/>
          <w:sz w:val="32"/>
        </w:rPr>
        <w:t>7 体系架构与技术选型</w:t>
      </w:r>
    </w:p>
    <w:tbl>
      <w:tblPr>
        <w:tblStyle w:val="TableGrid"/>
        <w:tblW w:type="auto" w:w="0"/>
        <w:tblLook w:firstColumn="1" w:firstRow="1" w:lastColumn="0" w:lastRow="0" w:noHBand="0" w:noVBand="1" w:val="04A0"/>
      </w:tblPr>
      <w:tblGrid>
        <w:gridCol w:w="4513"/>
        <w:gridCol w:w="4513"/>
      </w:tblGrid>
      <w:tr>
        <w:tc>
          <w:tcPr>
            <w:tcW w:type="dxa" w:w="4513"/>
          </w:tcPr>
          <w:p>
            <w:pPr>
              <w:spacing w:after="40" w:before="40" w:line="300" w:lineRule="auto"/>
            </w:pPr>
            <w:r/>
            <w:r>
              <w:rPr>
                <w:rFonts w:ascii="黑体" w:hAnsi="黑体" w:eastAsia="黑体"/>
                <w:b/>
                <w:sz w:val="21"/>
              </w:rPr>
              <w:t>技术领域</w:t>
            </w:r>
          </w:p>
        </w:tc>
        <w:tc>
          <w:tcPr>
            <w:tcW w:type="dxa" w:w="4513"/>
          </w:tcPr>
          <w:p>
            <w:pPr>
              <w:spacing w:after="40" w:before="40" w:line="300" w:lineRule="auto"/>
            </w:pPr>
            <w:r/>
            <w:r>
              <w:rPr>
                <w:rFonts w:ascii="黑体" w:hAnsi="黑体" w:eastAsia="黑体"/>
                <w:b/>
                <w:sz w:val="21"/>
              </w:rPr>
              <w:t>选型</w:t>
            </w:r>
          </w:p>
        </w:tc>
      </w:tr>
      <w:tr>
        <w:tc>
          <w:tcPr>
            <w:tcW w:type="dxa" w:w="4513"/>
          </w:tcPr>
          <w:p>
            <w:pPr>
              <w:spacing w:after="40" w:before="40" w:line="300" w:lineRule="auto"/>
            </w:pPr>
            <w:r/>
            <w:r>
              <w:rPr>
                <w:rFonts w:ascii="宋体" w:hAnsi="宋体" w:eastAsia="宋体"/>
                <w:b w:val="0"/>
                <w:sz w:val="21"/>
              </w:rPr>
              <w:t>后端</w:t>
            </w:r>
          </w:p>
        </w:tc>
        <w:tc>
          <w:tcPr>
            <w:tcW w:type="dxa" w:w="4513"/>
          </w:tcPr>
          <w:p>
            <w:pPr>
              <w:spacing w:after="40" w:before="40" w:line="300" w:lineRule="auto"/>
            </w:pPr>
            <w:r/>
            <w:r>
              <w:rPr>
                <w:rFonts w:ascii="宋体" w:hAnsi="宋体" w:eastAsia="宋体"/>
                <w:b w:val="0"/>
                <w:sz w:val="21"/>
              </w:rPr>
              <w:t>RuoYi-Vue / Spring Boot、MyBatis-Plus、Spring Security</w:t>
            </w:r>
          </w:p>
        </w:tc>
      </w:tr>
      <w:tr>
        <w:tc>
          <w:tcPr>
            <w:tcW w:type="dxa" w:w="4513"/>
          </w:tcPr>
          <w:p>
            <w:pPr>
              <w:spacing w:after="40" w:before="40" w:line="300" w:lineRule="auto"/>
            </w:pPr>
            <w:r/>
            <w:r>
              <w:rPr>
                <w:rFonts w:ascii="宋体" w:hAnsi="宋体" w:eastAsia="宋体"/>
                <w:b w:val="0"/>
                <w:sz w:val="21"/>
              </w:rPr>
              <w:t>前端</w:t>
            </w:r>
          </w:p>
        </w:tc>
        <w:tc>
          <w:tcPr>
            <w:tcW w:type="dxa" w:w="4513"/>
          </w:tcPr>
          <w:p>
            <w:pPr>
              <w:spacing w:after="40" w:before="40" w:line="300" w:lineRule="auto"/>
            </w:pPr>
            <w:r/>
            <w:r>
              <w:rPr>
                <w:rFonts w:ascii="宋体" w:hAnsi="宋体" w:eastAsia="宋体"/>
                <w:b w:val="0"/>
                <w:sz w:val="21"/>
              </w:rPr>
              <w:t>Vue 3、TypeScript、Vite、Element Plus；图纸预览Canvas/Konva</w:t>
            </w:r>
          </w:p>
        </w:tc>
      </w:tr>
      <w:tr>
        <w:tc>
          <w:tcPr>
            <w:tcW w:type="dxa" w:w="4513"/>
          </w:tcPr>
          <w:p>
            <w:pPr>
              <w:spacing w:after="40" w:before="40" w:line="300" w:lineRule="auto"/>
            </w:pPr>
            <w:r/>
            <w:r>
              <w:rPr>
                <w:rFonts w:ascii="宋体" w:hAnsi="宋体" w:eastAsia="宋体"/>
                <w:b w:val="0"/>
                <w:sz w:val="21"/>
              </w:rPr>
              <w:t>关系数据库</w:t>
            </w:r>
          </w:p>
        </w:tc>
        <w:tc>
          <w:tcPr>
            <w:tcW w:type="dxa" w:w="4513"/>
          </w:tcPr>
          <w:p>
            <w:pPr>
              <w:spacing w:after="40" w:before="40" w:line="300" w:lineRule="auto"/>
            </w:pPr>
            <w:r/>
            <w:r>
              <w:rPr>
                <w:rFonts w:ascii="宋体" w:hAnsi="宋体" w:eastAsia="宋体"/>
                <w:b w:val="0"/>
                <w:sz w:val="21"/>
              </w:rPr>
              <w:t>开发阶段MySQL；验收前迁国产数据库（达梦/金仓等，按甲方要求）</w:t>
            </w:r>
          </w:p>
        </w:tc>
      </w:tr>
      <w:tr>
        <w:tc>
          <w:tcPr>
            <w:tcW w:type="dxa" w:w="4513"/>
          </w:tcPr>
          <w:p>
            <w:pPr>
              <w:spacing w:after="40" w:before="40" w:line="300" w:lineRule="auto"/>
            </w:pPr>
            <w:r/>
            <w:r>
              <w:rPr>
                <w:rFonts w:ascii="宋体" w:hAnsi="宋体" w:eastAsia="宋体"/>
                <w:b w:val="0"/>
                <w:sz w:val="21"/>
              </w:rPr>
              <w:t>图数据库</w:t>
            </w:r>
          </w:p>
        </w:tc>
        <w:tc>
          <w:tcPr>
            <w:tcW w:type="dxa" w:w="4513"/>
          </w:tcPr>
          <w:p>
            <w:pPr>
              <w:spacing w:after="40" w:before="40" w:line="300" w:lineRule="auto"/>
            </w:pPr>
            <w:r/>
            <w:r>
              <w:rPr>
                <w:rFonts w:ascii="宋体" w:hAnsi="宋体" w:eastAsia="宋体"/>
                <w:b w:val="0"/>
                <w:sz w:val="21"/>
              </w:rPr>
              <w:t>支撑P&amp;ID拓扑存储与查询（按投标方案一阶段落地）</w:t>
            </w:r>
          </w:p>
        </w:tc>
      </w:tr>
      <w:tr>
        <w:tc>
          <w:tcPr>
            <w:tcW w:type="dxa" w:w="4513"/>
          </w:tcPr>
          <w:p>
            <w:pPr>
              <w:spacing w:after="40" w:before="40" w:line="300" w:lineRule="auto"/>
            </w:pPr>
            <w:r/>
            <w:r>
              <w:rPr>
                <w:rFonts w:ascii="宋体" w:hAnsi="宋体" w:eastAsia="宋体"/>
                <w:b w:val="0"/>
                <w:sz w:val="21"/>
              </w:rPr>
              <w:t>对象存储</w:t>
            </w:r>
          </w:p>
        </w:tc>
        <w:tc>
          <w:tcPr>
            <w:tcW w:type="dxa" w:w="4513"/>
          </w:tcPr>
          <w:p>
            <w:pPr>
              <w:spacing w:after="40" w:before="40" w:line="300" w:lineRule="auto"/>
            </w:pPr>
            <w:r/>
            <w:r>
              <w:rPr>
                <w:rFonts w:ascii="宋体" w:hAnsi="宋体" w:eastAsia="宋体"/>
                <w:b w:val="0"/>
                <w:sz w:val="21"/>
              </w:rPr>
              <w:t>MinIO等分布式对象存储</w:t>
            </w:r>
          </w:p>
        </w:tc>
      </w:tr>
      <w:tr>
        <w:tc>
          <w:tcPr>
            <w:tcW w:type="dxa" w:w="4513"/>
          </w:tcPr>
          <w:p>
            <w:pPr>
              <w:spacing w:after="40" w:before="40" w:line="300" w:lineRule="auto"/>
            </w:pPr>
            <w:r/>
            <w:r>
              <w:rPr>
                <w:rFonts w:ascii="宋体" w:hAnsi="宋体" w:eastAsia="宋体"/>
                <w:b w:val="0"/>
                <w:sz w:val="21"/>
              </w:rPr>
              <w:t>任务调度</w:t>
            </w:r>
          </w:p>
        </w:tc>
        <w:tc>
          <w:tcPr>
            <w:tcW w:type="dxa" w:w="4513"/>
          </w:tcPr>
          <w:p>
            <w:pPr>
              <w:spacing w:after="40" w:before="40" w:line="300" w:lineRule="auto"/>
            </w:pPr>
            <w:r/>
            <w:r>
              <w:rPr>
                <w:rFonts w:ascii="宋体" w:hAnsi="宋体" w:eastAsia="宋体"/>
                <w:b w:val="0"/>
                <w:sz w:val="21"/>
              </w:rPr>
              <w:t>XXL-Job、消息队列</w:t>
            </w:r>
          </w:p>
        </w:tc>
      </w:tr>
      <w:tr>
        <w:tc>
          <w:tcPr>
            <w:tcW w:type="dxa" w:w="4513"/>
          </w:tcPr>
          <w:p>
            <w:pPr>
              <w:spacing w:after="40" w:before="40" w:line="300" w:lineRule="auto"/>
            </w:pPr>
            <w:r/>
            <w:r>
              <w:rPr>
                <w:rFonts w:ascii="宋体" w:hAnsi="宋体" w:eastAsia="宋体"/>
                <w:b w:val="0"/>
                <w:sz w:val="21"/>
              </w:rPr>
              <w:t>智能体框架</w:t>
            </w:r>
          </w:p>
        </w:tc>
        <w:tc>
          <w:tcPr>
            <w:tcW w:type="dxa" w:w="4513"/>
          </w:tcPr>
          <w:p>
            <w:pPr>
              <w:spacing w:after="40" w:before="40" w:line="300" w:lineRule="auto"/>
            </w:pPr>
            <w:r/>
            <w:r>
              <w:rPr>
                <w:rFonts w:ascii="宋体" w:hAnsi="宋体" w:eastAsia="宋体"/>
                <w:b w:val="0"/>
                <w:sz w:val="21"/>
              </w:rPr>
              <w:t>LangGraph</w:t>
            </w:r>
          </w:p>
        </w:tc>
      </w:tr>
      <w:tr>
        <w:tc>
          <w:tcPr>
            <w:tcW w:type="dxa" w:w="4513"/>
          </w:tcPr>
          <w:p>
            <w:pPr>
              <w:spacing w:after="40" w:before="40" w:line="300" w:lineRule="auto"/>
            </w:pPr>
            <w:r/>
            <w:r>
              <w:rPr>
                <w:rFonts w:ascii="宋体" w:hAnsi="宋体" w:eastAsia="宋体"/>
                <w:b w:val="0"/>
                <w:sz w:val="21"/>
              </w:rPr>
              <w:t>深度学习</w:t>
            </w:r>
          </w:p>
        </w:tc>
        <w:tc>
          <w:tcPr>
            <w:tcW w:type="dxa" w:w="4513"/>
          </w:tcPr>
          <w:p>
            <w:pPr>
              <w:spacing w:after="40" w:before="40" w:line="300" w:lineRule="auto"/>
            </w:pPr>
            <w:r/>
            <w:r>
              <w:rPr>
                <w:rFonts w:ascii="宋体" w:hAnsi="宋体" w:eastAsia="宋体"/>
                <w:b w:val="0"/>
                <w:sz w:val="21"/>
              </w:rPr>
              <w:t>PaddlePaddle（布局分割）；PyTorch/Transformers生态（VLM/I2G）</w:t>
            </w:r>
          </w:p>
        </w:tc>
      </w:tr>
      <w:tr>
        <w:tc>
          <w:tcPr>
            <w:tcW w:type="dxa" w:w="4513"/>
          </w:tcPr>
          <w:p>
            <w:pPr>
              <w:spacing w:after="40" w:before="40" w:line="300" w:lineRule="auto"/>
            </w:pPr>
            <w:r/>
            <w:r>
              <w:rPr>
                <w:rFonts w:ascii="宋体" w:hAnsi="宋体" w:eastAsia="宋体"/>
                <w:b w:val="0"/>
                <w:sz w:val="21"/>
              </w:rPr>
              <w:t>CAD</w:t>
            </w:r>
          </w:p>
        </w:tc>
        <w:tc>
          <w:tcPr>
            <w:tcW w:type="dxa" w:w="4513"/>
          </w:tcPr>
          <w:p>
            <w:pPr>
              <w:spacing w:after="40" w:before="40" w:line="300" w:lineRule="auto"/>
            </w:pPr>
            <w:r/>
            <w:r>
              <w:rPr>
                <w:rFonts w:ascii="宋体" w:hAnsi="宋体" w:eastAsia="宋体"/>
                <w:b w:val="0"/>
                <w:sz w:val="21"/>
              </w:rPr>
              <w:t>DWG/DXF解析组件 + AutoCAD协同量距（MCP）</w:t>
            </w:r>
          </w:p>
        </w:tc>
      </w:tr>
      <w:tr>
        <w:tc>
          <w:tcPr>
            <w:tcW w:type="dxa" w:w="4513"/>
          </w:tcPr>
          <w:p>
            <w:pPr>
              <w:spacing w:after="40" w:before="40" w:line="300" w:lineRule="auto"/>
            </w:pPr>
            <w:r/>
            <w:r>
              <w:rPr>
                <w:rFonts w:ascii="宋体" w:hAnsi="宋体" w:eastAsia="宋体"/>
                <w:b w:val="0"/>
                <w:sz w:val="21"/>
              </w:rPr>
              <w:t>布局分割模型</w:t>
            </w:r>
          </w:p>
        </w:tc>
        <w:tc>
          <w:tcPr>
            <w:tcW w:type="dxa" w:w="4513"/>
          </w:tcPr>
          <w:p>
            <w:pPr>
              <w:spacing w:after="40" w:before="40" w:line="300" w:lineRule="auto"/>
            </w:pPr>
            <w:r/>
            <w:r>
              <w:rPr>
                <w:rFonts w:ascii="宋体" w:hAnsi="宋体" w:eastAsia="宋体"/>
                <w:b w:val="0"/>
                <w:sz w:val="21"/>
              </w:rPr>
              <w:t>PP-DocLayoutV3</w:t>
            </w:r>
          </w:p>
        </w:tc>
      </w:tr>
      <w:tr>
        <w:tc>
          <w:tcPr>
            <w:tcW w:type="dxa" w:w="4513"/>
          </w:tcPr>
          <w:p>
            <w:pPr>
              <w:spacing w:after="40" w:before="40" w:line="300" w:lineRule="auto"/>
            </w:pPr>
            <w:r/>
            <w:r>
              <w:rPr>
                <w:rFonts w:ascii="宋体" w:hAnsi="宋体" w:eastAsia="宋体"/>
                <w:b w:val="0"/>
                <w:sz w:val="21"/>
              </w:rPr>
              <w:t>多模态大模型</w:t>
            </w:r>
          </w:p>
        </w:tc>
        <w:tc>
          <w:tcPr>
            <w:tcW w:type="dxa" w:w="4513"/>
          </w:tcPr>
          <w:p>
            <w:pPr>
              <w:spacing w:after="40" w:before="40" w:line="300" w:lineRule="auto"/>
            </w:pPr>
            <w:r/>
            <w:r>
              <w:rPr>
                <w:rFonts w:ascii="宋体" w:hAnsi="宋体" w:eastAsia="宋体"/>
                <w:b w:val="0"/>
                <w:sz w:val="21"/>
              </w:rPr>
              <w:t>Qwen3.8-27B</w:t>
            </w:r>
          </w:p>
        </w:tc>
      </w:tr>
      <w:tr>
        <w:tc>
          <w:tcPr>
            <w:tcW w:type="dxa" w:w="4513"/>
          </w:tcPr>
          <w:p>
            <w:pPr>
              <w:spacing w:after="40" w:before="40" w:line="300" w:lineRule="auto"/>
            </w:pPr>
            <w:r/>
            <w:r>
              <w:rPr>
                <w:rFonts w:ascii="宋体" w:hAnsi="宋体" w:eastAsia="宋体"/>
                <w:b w:val="0"/>
                <w:sz w:val="21"/>
              </w:rPr>
              <w:t>P&amp;ID结构生成</w:t>
            </w:r>
          </w:p>
        </w:tc>
        <w:tc>
          <w:tcPr>
            <w:tcW w:type="dxa" w:w="4513"/>
          </w:tcPr>
          <w:p>
            <w:pPr>
              <w:spacing w:after="40" w:before="40" w:line="300" w:lineRule="auto"/>
            </w:pPr>
            <w:r/>
            <w:r>
              <w:rPr>
                <w:rFonts w:ascii="宋体" w:hAnsi="宋体" w:eastAsia="宋体"/>
                <w:b w:val="0"/>
                <w:sz w:val="21"/>
              </w:rPr>
              <w:t>Image-to-Graph</w:t>
            </w:r>
          </w:p>
        </w:tc>
      </w:tr>
    </w:tbl>
    <w:p/>
    <w:p>
      <w:pPr>
        <w:spacing w:after="120" w:before="0" w:line="300" w:lineRule="auto"/>
        <w:ind w:firstLine="420"/>
      </w:pPr>
      <w:r>
        <w:rPr>
          <w:rFonts w:ascii="宋体" w:hAnsi="宋体" w:eastAsia="宋体"/>
          <w:b w:val="0"/>
          <w:sz w:val="24"/>
        </w:rPr>
        <w:t>系统采用微件化架构，解析、规则、形式审查、P&amp;ID审查、总图审查、报告等能力可独立部署。安全合规遵循中国石油天然气集团公司及长庆相关网络安全与保密要求，内网私有化部署；合同后知识产权归招标人。</w:t>
      </w:r>
    </w:p>
    <w:p>
      <w:pPr>
        <w:pStyle w:val="Heading1"/>
        <w:spacing w:after="160" w:before="280" w:line="300" w:lineRule="auto"/>
      </w:pPr>
      <w:r>
        <w:rPr>
          <w:rFonts w:ascii="黑体" w:hAnsi="黑体" w:eastAsia="黑体"/>
          <w:b/>
          <w:sz w:val="32"/>
        </w:rPr>
        <w:t>8 数据与审查结果</w:t>
      </w:r>
    </w:p>
    <w:p>
      <w:pPr>
        <w:spacing w:after="120" w:before="0" w:line="300" w:lineRule="auto"/>
        <w:ind w:firstLine="420"/>
      </w:pPr>
      <w:r>
        <w:rPr>
          <w:rFonts w:ascii="宋体" w:hAnsi="宋体" w:eastAsia="宋体"/>
          <w:b w:val="0"/>
          <w:sz w:val="24"/>
        </w:rPr>
        <w:t>规则库、图纸库、工件中间结果、图库与业务库共同支撑审查过程。信息抽取产物（如标题栏、目录、图例、拓扑、总图要素）按工件方式缓存复用，同一审查任务内相同工件只抽取一次。审查意见采用统一数据结构输出，主要包括问题标识、关联图号、问题类型、严重等级、问题描述、规范依据、修改建议、图面坐标、置信度及人工复核状态等字段，支持Web列表与图面联动、PDF批注与Excel清单导出。</w:t>
      </w:r>
    </w:p>
    <w:p>
      <w:pPr>
        <w:spacing w:after="120" w:before="0" w:line="300" w:lineRule="auto"/>
        <w:ind w:firstLine="420"/>
      </w:pPr>
      <w:r>
        <w:rPr>
          <w:rFonts w:ascii="宋体" w:hAnsi="宋体" w:eastAsia="宋体"/>
          <w:b w:val="0"/>
          <w:sz w:val="24"/>
        </w:rPr>
        <w:t>规则引擎对可形式化检查项采用代码化算子执行（如等值、正则、连续号、集合差、图查询、最小距离等）；对错别字、语义理解、检测失败兜底、图面杂乱等语义类问题，可采用大模型判定能力，范围与投标技术方案保持一致。</w:t>
      </w:r>
    </w:p>
    <w:p>
      <w:pPr>
        <w:pStyle w:val="Heading1"/>
        <w:spacing w:after="160" w:before="280" w:line="300" w:lineRule="auto"/>
      </w:pPr>
      <w:r>
        <w:rPr>
          <w:rFonts w:ascii="黑体" w:hAnsi="黑体" w:eastAsia="黑体"/>
          <w:b/>
          <w:sz w:val="32"/>
        </w:rPr>
        <w:t>9 实施阶段与技术指标</w:t>
      </w:r>
    </w:p>
    <w:p>
      <w:pPr>
        <w:spacing w:after="120" w:before="0" w:line="300" w:lineRule="auto"/>
        <w:ind w:firstLine="420"/>
      </w:pPr>
      <w:r>
        <w:rPr>
          <w:rFonts w:ascii="宋体" w:hAnsi="宋体" w:eastAsia="宋体"/>
          <w:b w:val="0"/>
          <w:sz w:val="24"/>
        </w:rPr>
        <w:t>实施分为两阶段。第一阶段至2026年11月15日，完成规则库、形式审查与目录一致性、典型P&amp;ID与典型总平面智能审查等核心能力，形成试用与验收条件；第二阶段至2027年11月15日，完成微件化与接口深化、智能体整合、并发能力、二维协同端到端联调、生产部署、培训与正式验收。</w:t>
      </w:r>
    </w:p>
    <w:p>
      <w:pPr>
        <w:spacing w:after="120" w:before="0" w:line="300" w:lineRule="auto"/>
        <w:ind w:firstLine="420"/>
      </w:pPr>
      <w:r>
        <w:rPr>
          <w:rFonts w:ascii="宋体" w:hAnsi="宋体" w:eastAsia="宋体"/>
          <w:b w:val="0"/>
          <w:sz w:val="24"/>
        </w:rPr>
        <w:t>关键技术指标以投标文件为准，并以双方确认测试集评价：形式审查与目录一致性准确率≥95%；典型P&amp;ID审查准确率≥90%；典型总平面审查准确率≥70%；系统并发与响应能力按投标指标在二阶段重点验证。</w:t>
      </w:r>
    </w:p>
    <w:p>
      <w:pPr>
        <w:pStyle w:val="Heading1"/>
        <w:spacing w:after="160" w:before="280" w:line="300" w:lineRule="auto"/>
      </w:pPr>
      <w:r>
        <w:rPr>
          <w:rFonts w:ascii="黑体" w:hAnsi="黑体" w:eastAsia="黑体"/>
          <w:b/>
          <w:sz w:val="32"/>
        </w:rPr>
        <w:t>10 结语</w:t>
      </w:r>
    </w:p>
    <w:p>
      <w:pPr>
        <w:spacing w:after="120" w:before="0" w:line="300" w:lineRule="auto"/>
        <w:ind w:firstLine="420"/>
      </w:pPr>
      <w:r>
        <w:rPr>
          <w:rFonts w:ascii="宋体" w:hAnsi="宋体" w:eastAsia="宋体"/>
          <w:b w:val="0"/>
          <w:sz w:val="24"/>
        </w:rPr>
        <w:t>本技术方案报告完整承接投标文件确定的技术路线与架构承诺，并在工作流编排、审查技能注册执行、解析预处理与系统分层协作等方面给出可实施的工程细化。后续详细设计、开发、测试与验收均以本报告及投标技术部分为准；若发生涉及模型选型、业务路径或指标口径的变更，须履行正式评审与确认程序。</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66666"/>
        <w:sz w:val="18"/>
      </w:rPr>
      <w:t>（基于投标技术部分编制）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b w:val="0"/>
        <w:color w:val="666666"/>
        <w:sz w:val="18"/>
      </w:rPr>
      <w:t>长庆工程图纸智能审查系统 · 技术方案报告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