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4A20B">
      <w:pPr>
        <w:jc w:val="center"/>
      </w:pPr>
      <w:r>
        <w:rPr>
          <w:b/>
          <w:sz w:val="32"/>
        </w:rPr>
        <w:t>Dynamic Context Feasibility Test</w:t>
      </w:r>
    </w:p>
    <w:p w14:paraId="6C796CA4">
      <w:pPr>
        <w:pStyle w:val="2"/>
      </w:pPr>
      <w:r>
        <w:t>1. 实验目的</w:t>
      </w:r>
    </w:p>
    <w:p w14:paraId="02DF0F22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比较不同 Context 策略对 RAG 系统的影响，重点观察 Input Token 数量、Response Time（Latency）与回答质量（0–3 人工评分）。</w:t>
      </w:r>
    </w:p>
    <w:p w14:paraId="1E32B037">
      <w:pPr>
        <w:pStyle w:val="2"/>
        <w:numPr>
          <w:ilvl w:val="0"/>
          <w:numId w:val="7"/>
        </w:numPr>
      </w:pPr>
      <w:r>
        <w:t>实验环境与模型配置</w:t>
      </w:r>
    </w:p>
    <w:p w14:paraId="0D54033C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实验环境：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4340B91">
        <w:tc>
          <w:tcPr>
            <w:tcW w:w="4320" w:type="dxa"/>
            <w:shd w:val="clear" w:color="auto" w:fill="DCE6F2" w:themeFill="accent1" w:themeFillTint="32"/>
          </w:tcPr>
          <w:p w14:paraId="1E7777FC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分类</w:t>
            </w:r>
          </w:p>
        </w:tc>
        <w:tc>
          <w:tcPr>
            <w:tcW w:w="4320" w:type="dxa"/>
            <w:shd w:val="clear" w:color="auto" w:fill="DCE6F2" w:themeFill="accent1" w:themeFillTint="32"/>
          </w:tcPr>
          <w:p w14:paraId="6B9B191B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实际配置</w:t>
            </w:r>
          </w:p>
        </w:tc>
      </w:tr>
      <w:tr w14:paraId="13D8A2D9">
        <w:tc>
          <w:tcPr>
            <w:tcW w:w="4320" w:type="dxa"/>
          </w:tcPr>
          <w:p w14:paraId="03E3D840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运行环境</w:t>
            </w:r>
          </w:p>
        </w:tc>
        <w:tc>
          <w:tcPr>
            <w:tcW w:w="4320" w:type="dxa"/>
          </w:tcPr>
          <w:p w14:paraId="641F39D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MacBook Air M2，16 GB</w:t>
            </w:r>
          </w:p>
        </w:tc>
      </w:tr>
      <w:tr w14:paraId="3C292263">
        <w:tc>
          <w:tcPr>
            <w:tcW w:w="4320" w:type="dxa"/>
          </w:tcPr>
          <w:p w14:paraId="5FDC5CDD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Python</w:t>
            </w:r>
          </w:p>
        </w:tc>
        <w:tc>
          <w:tcPr>
            <w:tcW w:w="4320" w:type="dxa"/>
          </w:tcPr>
          <w:p w14:paraId="6F5B54C7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3.11.14</w:t>
            </w:r>
          </w:p>
        </w:tc>
      </w:tr>
      <w:tr w14:paraId="710A8667">
        <w:tc>
          <w:tcPr>
            <w:tcW w:w="4320" w:type="dxa"/>
          </w:tcPr>
          <w:p w14:paraId="777F706E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LLM 推理框架</w:t>
            </w:r>
          </w:p>
        </w:tc>
        <w:tc>
          <w:tcPr>
            <w:tcW w:w="4320" w:type="dxa"/>
          </w:tcPr>
          <w:p w14:paraId="71220972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mlx-lm</w:t>
            </w:r>
          </w:p>
        </w:tc>
      </w:tr>
      <w:tr w14:paraId="77AD483A">
        <w:tc>
          <w:tcPr>
            <w:tcW w:w="4320" w:type="dxa"/>
          </w:tcPr>
          <w:p w14:paraId="580C46BA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Embedding 框架</w:t>
            </w:r>
          </w:p>
        </w:tc>
        <w:tc>
          <w:tcPr>
            <w:tcW w:w="4320" w:type="dxa"/>
          </w:tcPr>
          <w:p w14:paraId="72EEF84F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sentence-transformers</w:t>
            </w:r>
          </w:p>
        </w:tc>
      </w:tr>
      <w:tr w14:paraId="6FBE49B0">
        <w:tc>
          <w:tcPr>
            <w:tcW w:w="4320" w:type="dxa"/>
          </w:tcPr>
          <w:p w14:paraId="11AB1BAB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向量库</w:t>
            </w:r>
          </w:p>
        </w:tc>
        <w:tc>
          <w:tcPr>
            <w:tcW w:w="4320" w:type="dxa"/>
          </w:tcPr>
          <w:p w14:paraId="278B9AB0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Qdrant Local（qdrant_storage/）</w:t>
            </w:r>
          </w:p>
        </w:tc>
      </w:tr>
      <w:tr w14:paraId="272D1EA3">
        <w:tc>
          <w:tcPr>
            <w:tcW w:w="4320" w:type="dxa"/>
          </w:tcPr>
          <w:p w14:paraId="3D80E462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PDF 解析</w:t>
            </w:r>
          </w:p>
        </w:tc>
        <w:tc>
          <w:tcPr>
            <w:tcW w:w="4320" w:type="dxa"/>
          </w:tcPr>
          <w:p w14:paraId="169D819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PyMuPDF</w:t>
            </w:r>
          </w:p>
        </w:tc>
      </w:tr>
      <w:tr w14:paraId="38D79B24">
        <w:tc>
          <w:tcPr>
            <w:tcW w:w="4320" w:type="dxa"/>
          </w:tcPr>
          <w:p w14:paraId="65BFEF20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结果处理</w:t>
            </w:r>
          </w:p>
        </w:tc>
        <w:tc>
          <w:tcPr>
            <w:tcW w:w="4320" w:type="dxa"/>
          </w:tcPr>
          <w:p w14:paraId="4729DE33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pandas + openpyxl</w:t>
            </w:r>
          </w:p>
        </w:tc>
      </w:tr>
    </w:tbl>
    <w:p w14:paraId="309E809D"/>
    <w:p w14:paraId="4EAABD27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模型选择：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C7392D">
        <w:tc>
          <w:tcPr>
            <w:tcW w:w="4320" w:type="dxa"/>
            <w:shd w:val="clear" w:color="auto" w:fill="DCE6F2" w:themeFill="accent1" w:themeFillTint="32"/>
          </w:tcPr>
          <w:p w14:paraId="63AD353B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分类</w:t>
            </w:r>
          </w:p>
        </w:tc>
        <w:tc>
          <w:tcPr>
            <w:tcW w:w="4320" w:type="dxa"/>
            <w:shd w:val="clear" w:color="auto" w:fill="DCE6F2" w:themeFill="accent1" w:themeFillTint="32"/>
          </w:tcPr>
          <w:p w14:paraId="3AB3BFCC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模型选择</w:t>
            </w:r>
          </w:p>
        </w:tc>
      </w:tr>
      <w:tr w14:paraId="728DFC11">
        <w:tc>
          <w:tcPr>
            <w:tcW w:w="4320" w:type="dxa"/>
          </w:tcPr>
          <w:p w14:paraId="14EA5845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LLM</w:t>
            </w:r>
          </w:p>
        </w:tc>
        <w:tc>
          <w:tcPr>
            <w:tcW w:w="4320" w:type="dxa"/>
          </w:tcPr>
          <w:p w14:paraId="1429B049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mlx-community/Qwen2.5-3B-Instruct-4bit</w:t>
            </w:r>
          </w:p>
        </w:tc>
      </w:tr>
      <w:tr w14:paraId="2AC65259">
        <w:tc>
          <w:tcPr>
            <w:tcW w:w="4320" w:type="dxa"/>
          </w:tcPr>
          <w:p w14:paraId="1B81FC15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Embedding</w:t>
            </w:r>
          </w:p>
        </w:tc>
        <w:tc>
          <w:tcPr>
            <w:tcW w:w="4320" w:type="dxa"/>
          </w:tcPr>
          <w:p w14:paraId="14DFB8AD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BAAI/bge-small-zh-v1.5</w:t>
            </w:r>
          </w:p>
        </w:tc>
      </w:tr>
    </w:tbl>
    <w:p w14:paraId="44FDE021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参数设置：temperature=0.0、max_new_tokens=200、seed=16</w:t>
      </w:r>
    </w:p>
    <w:p w14:paraId="7AB98CFA">
      <w:pPr>
        <w:pStyle w:val="2"/>
      </w:pPr>
      <w:r>
        <w:t>3. 数据准备</w:t>
      </w:r>
    </w:p>
    <w:p w14:paraId="230A2D75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实验知识库为余华小说《活着》（活着.pdf）。文本按 500 字符切块，相邻 chunk 重叠 80 字符；共提取约 153 页，建立 293 个向量片段。问题集共 20 题，题型分类如下：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58E7C01">
        <w:tc>
          <w:tcPr>
            <w:tcW w:w="4320" w:type="dxa"/>
            <w:shd w:val="clear" w:color="auto" w:fill="DCE6F2" w:themeFill="accent1" w:themeFillTint="32"/>
          </w:tcPr>
          <w:p w14:paraId="41B79C1C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题型</w:t>
            </w:r>
          </w:p>
        </w:tc>
        <w:tc>
          <w:tcPr>
            <w:tcW w:w="4320" w:type="dxa"/>
            <w:shd w:val="clear" w:color="auto" w:fill="DCE6F2" w:themeFill="accent1" w:themeFillTint="32"/>
          </w:tcPr>
          <w:p w14:paraId="5D34BCB5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数量</w:t>
            </w:r>
          </w:p>
        </w:tc>
      </w:tr>
      <w:tr w14:paraId="3C23949D">
        <w:tc>
          <w:tcPr>
            <w:tcW w:w="4320" w:type="dxa"/>
          </w:tcPr>
          <w:p w14:paraId="59D0448A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Book</w:t>
            </w:r>
          </w:p>
        </w:tc>
        <w:tc>
          <w:tcPr>
            <w:tcW w:w="4320" w:type="dxa"/>
          </w:tcPr>
          <w:p w14:paraId="6BE43813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0BC59C7C">
        <w:tc>
          <w:tcPr>
            <w:tcW w:w="4320" w:type="dxa"/>
          </w:tcPr>
          <w:p w14:paraId="702B4B2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General</w:t>
            </w:r>
          </w:p>
        </w:tc>
        <w:tc>
          <w:tcPr>
            <w:tcW w:w="4320" w:type="dxa"/>
          </w:tcPr>
          <w:p w14:paraId="6C2DE079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7499737A">
        <w:tc>
          <w:tcPr>
            <w:tcW w:w="4320" w:type="dxa"/>
          </w:tcPr>
          <w:p w14:paraId="7F74039A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Rewrite</w:t>
            </w:r>
          </w:p>
        </w:tc>
        <w:tc>
          <w:tcPr>
            <w:tcW w:w="4320" w:type="dxa"/>
          </w:tcPr>
          <w:p w14:paraId="272602D8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</w:tbl>
    <w:p w14:paraId="69FB77B1"/>
    <w:p w14:paraId="4F2C5AE1">
      <w:pPr>
        <w:pStyle w:val="2"/>
      </w:pPr>
      <w:r>
        <w:t>4. 实验内容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1"/>
        <w:gridCol w:w="6129"/>
      </w:tblGrid>
      <w:tr w14:paraId="3D13D4CE">
        <w:tc>
          <w:tcPr>
            <w:tcW w:w="2511" w:type="dxa"/>
            <w:shd w:val="clear" w:color="auto" w:fill="DCE6F2" w:themeFill="accent1" w:themeFillTint="32"/>
          </w:tcPr>
          <w:p w14:paraId="7CF821F5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实验</w:t>
            </w:r>
          </w:p>
        </w:tc>
        <w:tc>
          <w:tcPr>
            <w:tcW w:w="6129" w:type="dxa"/>
            <w:shd w:val="clear" w:color="auto" w:fill="DCE6F2" w:themeFill="accent1" w:themeFillTint="32"/>
          </w:tcPr>
          <w:p w14:paraId="41A066FA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639C9300">
        <w:tc>
          <w:tcPr>
            <w:tcW w:w="2511" w:type="dxa"/>
          </w:tcPr>
          <w:p w14:paraId="7287617F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Baseline (Top-8)</w:t>
            </w:r>
          </w:p>
        </w:tc>
        <w:tc>
          <w:tcPr>
            <w:tcW w:w="6129" w:type="dxa"/>
          </w:tcPr>
          <w:p w14:paraId="15174BD2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所有问题均执行 Retrieval，检索 Top-8 chunk，将全部 Context 放入 Prompt，再调用 LLM。</w:t>
            </w:r>
          </w:p>
        </w:tc>
      </w:tr>
      <w:tr w14:paraId="04290DBB">
        <w:tc>
          <w:tcPr>
            <w:tcW w:w="2511" w:type="dxa"/>
          </w:tcPr>
          <w:p w14:paraId="0EDD7002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Standard RAG (Top-4)</w:t>
            </w:r>
          </w:p>
        </w:tc>
        <w:tc>
          <w:tcPr>
            <w:tcW w:w="6129" w:type="dxa"/>
          </w:tcPr>
          <w:p w14:paraId="4CD4877D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流程与 Baseline 相同，仅将 Retrieval 数量改为 Top-4。</w:t>
            </w:r>
          </w:p>
        </w:tc>
      </w:tr>
      <w:tr w14:paraId="4DA5518B">
        <w:tc>
          <w:tcPr>
            <w:tcW w:w="2511" w:type="dxa"/>
          </w:tcPr>
          <w:p w14:paraId="540F630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Minimal RAG (Top-2)</w:t>
            </w:r>
          </w:p>
        </w:tc>
        <w:tc>
          <w:tcPr>
            <w:tcW w:w="6129" w:type="dxa"/>
          </w:tcPr>
          <w:p w14:paraId="513F84C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流程与 Baseline 相同，仅将 Retrieval 数量改为 Top-2。</w:t>
            </w:r>
          </w:p>
        </w:tc>
      </w:tr>
      <w:tr w14:paraId="5EF153C2">
        <w:tc>
          <w:tcPr>
            <w:tcW w:w="2511" w:type="dxa"/>
          </w:tcPr>
          <w:p w14:paraId="4C068988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No RAG</w:t>
            </w:r>
          </w:p>
        </w:tc>
        <w:tc>
          <w:tcPr>
            <w:tcW w:w="6129" w:type="dxa"/>
          </w:tcPr>
          <w:p w14:paraId="3E342E72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所有问题均不进行 Retrieval，仅将问题直接发送给 LLM。</w:t>
            </w:r>
          </w:p>
        </w:tc>
      </w:tr>
      <w:tr w14:paraId="1E2ADD71">
        <w:tc>
          <w:tcPr>
            <w:tcW w:w="2511" w:type="dxa"/>
          </w:tcPr>
          <w:p w14:paraId="53F7B93D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Query-Aware</w:t>
            </w:r>
          </w:p>
        </w:tc>
        <w:tc>
          <w:tcPr>
            <w:tcW w:w="6129" w:type="dxa"/>
          </w:tcPr>
          <w:p w14:paraId="00420631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根据问题类型决定是否 Retrieval：Book → Top-4；General / Rewrite → No Retrieval。</w:t>
            </w:r>
          </w:p>
        </w:tc>
      </w:tr>
      <w:tr w14:paraId="43126EF5">
        <w:tc>
          <w:tcPr>
            <w:tcW w:w="2511" w:type="dxa"/>
          </w:tcPr>
          <w:p w14:paraId="35CBB267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Query-Aware + Top-2</w:t>
            </w:r>
          </w:p>
        </w:tc>
        <w:tc>
          <w:tcPr>
            <w:tcW w:w="6129" w:type="dxa"/>
          </w:tcPr>
          <w:p w14:paraId="7BE0A19E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Book → Top-2 Retrieval；General / Rewrite → No Retrieval。</w:t>
            </w:r>
          </w:p>
        </w:tc>
      </w:tr>
    </w:tbl>
    <w:p w14:paraId="78376077"/>
    <w:p w14:paraId="79DBD810">
      <w:pPr>
        <w:pStyle w:val="2"/>
      </w:pPr>
      <w:r>
        <w:t>5. 回答评分</w:t>
      </w:r>
    </w:p>
    <w:p w14:paraId="29FBA3D1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评分采用 0–3 分制，由人工对照 Ground Truth 逐条评定。判定原则：先看核心结论是否正确，再看完整性与错误内容。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7858"/>
      </w:tblGrid>
      <w:tr w14:paraId="3EFE28BC">
        <w:tc>
          <w:tcPr>
            <w:tcW w:w="782" w:type="dxa"/>
            <w:shd w:val="clear" w:color="auto" w:fill="DCE6F2" w:themeFill="accent1" w:themeFillTint="32"/>
          </w:tcPr>
          <w:p w14:paraId="27D4524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分数</w:t>
            </w:r>
          </w:p>
        </w:tc>
        <w:tc>
          <w:tcPr>
            <w:tcW w:w="7858" w:type="dxa"/>
            <w:shd w:val="clear" w:color="auto" w:fill="DCE6F2" w:themeFill="accent1" w:themeFillTint="32"/>
          </w:tcPr>
          <w:p w14:paraId="516FC92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判定标准</w:t>
            </w:r>
          </w:p>
        </w:tc>
      </w:tr>
      <w:tr w14:paraId="3BFF24BA">
        <w:tc>
          <w:tcPr>
            <w:tcW w:w="782" w:type="dxa"/>
          </w:tcPr>
          <w:p w14:paraId="20988FFA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858" w:type="dxa"/>
          </w:tcPr>
          <w:p w14:paraId="75D1850C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回答正确且完整，覆盖核心要点，无实质性错误；Rewrite 题同时满足全部改写要求</w:t>
            </w:r>
          </w:p>
        </w:tc>
      </w:tr>
      <w:tr w14:paraId="5D5A255E">
        <w:tc>
          <w:tcPr>
            <w:tcW w:w="782" w:type="dxa"/>
          </w:tcPr>
          <w:p w14:paraId="0B83759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858" w:type="dxa"/>
          </w:tcPr>
          <w:p w14:paraId="20168B2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核心答案正确，但有少量遗漏、轻微错误、无关内容，或只违反一项次要格式要求</w:t>
            </w:r>
          </w:p>
        </w:tc>
      </w:tr>
      <w:tr w14:paraId="79528C03">
        <w:tc>
          <w:tcPr>
            <w:tcW w:w="782" w:type="dxa"/>
          </w:tcPr>
          <w:p w14:paraId="302C2B8F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858" w:type="dxa"/>
          </w:tcPr>
          <w:p w14:paraId="582346CD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仅部分内容正确；遗漏关键要点、包含明显事实错误，或未完成主要指令</w:t>
            </w:r>
          </w:p>
        </w:tc>
      </w:tr>
      <w:tr w14:paraId="79A99738">
        <w:tc>
          <w:tcPr>
            <w:tcW w:w="782" w:type="dxa"/>
          </w:tcPr>
          <w:p w14:paraId="310AD819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858" w:type="dxa"/>
          </w:tcPr>
          <w:p w14:paraId="13613F82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核心答案错误、与问题无关、拒绝回答，或与 Ground Truth 相矛盾</w:t>
            </w:r>
          </w:p>
        </w:tc>
      </w:tr>
    </w:tbl>
    <w:p w14:paraId="350A49C6">
      <w:pPr>
        <w:pStyle w:val="2"/>
        <w:numPr>
          <w:ilvl w:val="0"/>
          <w:numId w:val="8"/>
        </w:numPr>
      </w:pPr>
      <w:r>
        <w:t>总体实验结果</w:t>
      </w:r>
    </w:p>
    <w:p w14:paraId="3C929D5C">
      <w:pPr>
        <w:rPr>
          <w:rFonts w:hint="eastAsia" w:eastAsia="SimSun"/>
          <w:lang w:eastAsia="zh-CN"/>
        </w:rPr>
      </w:pPr>
      <w:r>
        <w:rPr>
          <w:rFonts w:hint="eastAsia" w:eastAsia="SimSun"/>
          <w:lang w:eastAsia="zh-CN"/>
        </w:rPr>
        <w:object>
          <v:shape id="_x0000_i1025" o:spt="75" type="#_x0000_t75" style="height:60pt;width:60pt;" o:ole="t" filled="f" o:preferrelative="t" stroked="f" coordsize="21600,21600">
            <v:fill on="f" focussize="0,0"/>
            <v:stroke on="f"/>
            <v:imagedata r:id="rId7" o:title="oleimage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7E8C07C7">
      <w:pPr>
        <w:pStyle w:val="2"/>
      </w:pPr>
      <w:r>
        <w:rPr>
          <w:rFonts w:hint="eastAsia"/>
          <w:lang w:val="en-US" w:eastAsia="zh-CN"/>
        </w:rPr>
        <w:t>7.</w:t>
      </w:r>
      <w:r>
        <w:t>最终统计表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1218"/>
        <w:gridCol w:w="1368"/>
        <w:gridCol w:w="1534"/>
        <w:gridCol w:w="1339"/>
        <w:gridCol w:w="1172"/>
      </w:tblGrid>
      <w:tr w14:paraId="6ED512A1">
        <w:tc>
          <w:tcPr>
            <w:tcW w:w="1880" w:type="dxa"/>
            <w:shd w:val="clear" w:color="auto" w:fill="DCE6F2" w:themeFill="accent1" w:themeFillTint="32"/>
          </w:tcPr>
          <w:p w14:paraId="56397663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Method</w:t>
            </w:r>
          </w:p>
        </w:tc>
        <w:tc>
          <w:tcPr>
            <w:tcW w:w="1218" w:type="dxa"/>
            <w:shd w:val="clear" w:color="auto" w:fill="DCE6F2" w:themeFill="accent1" w:themeFillTint="32"/>
          </w:tcPr>
          <w:p w14:paraId="044A2EFC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Avg Input Tokens</w:t>
            </w:r>
          </w:p>
        </w:tc>
        <w:tc>
          <w:tcPr>
            <w:tcW w:w="1368" w:type="dxa"/>
            <w:shd w:val="clear" w:color="auto" w:fill="DCE6F2" w:themeFill="accent1" w:themeFillTint="32"/>
          </w:tcPr>
          <w:p w14:paraId="4B030EA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Token Reduction</w:t>
            </w:r>
          </w:p>
        </w:tc>
        <w:tc>
          <w:tcPr>
            <w:tcW w:w="1534" w:type="dxa"/>
            <w:shd w:val="clear" w:color="auto" w:fill="DCE6F2" w:themeFill="accent1" w:themeFillTint="32"/>
          </w:tcPr>
          <w:p w14:paraId="09397269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Avg Total Time(ms)</w:t>
            </w:r>
          </w:p>
        </w:tc>
        <w:tc>
          <w:tcPr>
            <w:tcW w:w="1339" w:type="dxa"/>
            <w:shd w:val="clear" w:color="auto" w:fill="DCE6F2" w:themeFill="accent1" w:themeFillTint="32"/>
          </w:tcPr>
          <w:p w14:paraId="77F7D1D1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Latency Reduction</w:t>
            </w:r>
          </w:p>
        </w:tc>
        <w:tc>
          <w:tcPr>
            <w:tcW w:w="1172" w:type="dxa"/>
            <w:shd w:val="clear" w:color="auto" w:fill="DCE6F2" w:themeFill="accent1" w:themeFillTint="32"/>
          </w:tcPr>
          <w:p w14:paraId="23EFE50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Avg Score</w:t>
            </w:r>
          </w:p>
        </w:tc>
      </w:tr>
      <w:tr w14:paraId="61553621">
        <w:tc>
          <w:tcPr>
            <w:tcW w:w="1880" w:type="dxa"/>
          </w:tcPr>
          <w:p w14:paraId="3B070450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Baseline (Top-8)</w:t>
            </w:r>
          </w:p>
        </w:tc>
        <w:tc>
          <w:tcPr>
            <w:tcW w:w="1218" w:type="dxa"/>
          </w:tcPr>
          <w:p w14:paraId="0DBE2A99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2290.90</w:t>
            </w:r>
          </w:p>
        </w:tc>
        <w:tc>
          <w:tcPr>
            <w:tcW w:w="1368" w:type="dxa"/>
          </w:tcPr>
          <w:p w14:paraId="48CD541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534" w:type="dxa"/>
          </w:tcPr>
          <w:p w14:paraId="43EB2C7D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21665.75</w:t>
            </w:r>
          </w:p>
        </w:tc>
        <w:tc>
          <w:tcPr>
            <w:tcW w:w="1339" w:type="dxa"/>
          </w:tcPr>
          <w:p w14:paraId="2CB14A85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172" w:type="dxa"/>
          </w:tcPr>
          <w:p w14:paraId="01C90667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1.85</w:t>
            </w:r>
          </w:p>
        </w:tc>
      </w:tr>
      <w:tr w14:paraId="339122D0">
        <w:tc>
          <w:tcPr>
            <w:tcW w:w="1880" w:type="dxa"/>
          </w:tcPr>
          <w:p w14:paraId="22314D2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Standard RAG (Top-4)</w:t>
            </w:r>
          </w:p>
        </w:tc>
        <w:tc>
          <w:tcPr>
            <w:tcW w:w="1218" w:type="dxa"/>
          </w:tcPr>
          <w:p w14:paraId="5126A03F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1179.20</w:t>
            </w:r>
          </w:p>
        </w:tc>
        <w:tc>
          <w:tcPr>
            <w:tcW w:w="1368" w:type="dxa"/>
          </w:tcPr>
          <w:p w14:paraId="78D3BDDC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48.53%</w:t>
            </w:r>
          </w:p>
        </w:tc>
        <w:tc>
          <w:tcPr>
            <w:tcW w:w="1534" w:type="dxa"/>
          </w:tcPr>
          <w:p w14:paraId="3E8A9F12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13710.11</w:t>
            </w:r>
          </w:p>
        </w:tc>
        <w:tc>
          <w:tcPr>
            <w:tcW w:w="1339" w:type="dxa"/>
          </w:tcPr>
          <w:p w14:paraId="1A1C082C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36.72%</w:t>
            </w:r>
          </w:p>
        </w:tc>
        <w:tc>
          <w:tcPr>
            <w:tcW w:w="1172" w:type="dxa"/>
          </w:tcPr>
          <w:p w14:paraId="429950BC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1.55</w:t>
            </w:r>
          </w:p>
        </w:tc>
      </w:tr>
      <w:tr w14:paraId="6015420B">
        <w:tc>
          <w:tcPr>
            <w:tcW w:w="1880" w:type="dxa"/>
          </w:tcPr>
          <w:p w14:paraId="423ACFC2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Minimal RAG (Top-2)</w:t>
            </w:r>
          </w:p>
        </w:tc>
        <w:tc>
          <w:tcPr>
            <w:tcW w:w="1218" w:type="dxa"/>
          </w:tcPr>
          <w:p w14:paraId="00CBC79B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625.20</w:t>
            </w:r>
          </w:p>
        </w:tc>
        <w:tc>
          <w:tcPr>
            <w:tcW w:w="1368" w:type="dxa"/>
          </w:tcPr>
          <w:p w14:paraId="7262E509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72.71%</w:t>
            </w:r>
          </w:p>
        </w:tc>
        <w:tc>
          <w:tcPr>
            <w:tcW w:w="1534" w:type="dxa"/>
          </w:tcPr>
          <w:p w14:paraId="124E49C2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7815.90</w:t>
            </w:r>
          </w:p>
        </w:tc>
        <w:tc>
          <w:tcPr>
            <w:tcW w:w="1339" w:type="dxa"/>
          </w:tcPr>
          <w:p w14:paraId="722B132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63.93%</w:t>
            </w:r>
          </w:p>
        </w:tc>
        <w:tc>
          <w:tcPr>
            <w:tcW w:w="1172" w:type="dxa"/>
          </w:tcPr>
          <w:p w14:paraId="54BCE45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1.50</w:t>
            </w:r>
          </w:p>
        </w:tc>
      </w:tr>
      <w:tr w14:paraId="4A2AA8F0">
        <w:tc>
          <w:tcPr>
            <w:tcW w:w="1880" w:type="dxa"/>
          </w:tcPr>
          <w:p w14:paraId="6A17F368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No RAG</w:t>
            </w:r>
          </w:p>
        </w:tc>
        <w:tc>
          <w:tcPr>
            <w:tcW w:w="1218" w:type="dxa"/>
          </w:tcPr>
          <w:p w14:paraId="64ABA2CC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79.25</w:t>
            </w:r>
          </w:p>
        </w:tc>
        <w:tc>
          <w:tcPr>
            <w:tcW w:w="1368" w:type="dxa"/>
          </w:tcPr>
          <w:p w14:paraId="028F449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96.54%</w:t>
            </w:r>
          </w:p>
        </w:tc>
        <w:tc>
          <w:tcPr>
            <w:tcW w:w="1534" w:type="dxa"/>
          </w:tcPr>
          <w:p w14:paraId="3E299D9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4364.18</w:t>
            </w:r>
          </w:p>
        </w:tc>
        <w:tc>
          <w:tcPr>
            <w:tcW w:w="1339" w:type="dxa"/>
          </w:tcPr>
          <w:p w14:paraId="6E5D1E11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79.86%</w:t>
            </w:r>
          </w:p>
        </w:tc>
        <w:tc>
          <w:tcPr>
            <w:tcW w:w="1172" w:type="dxa"/>
          </w:tcPr>
          <w:p w14:paraId="2F43232A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1.15</w:t>
            </w:r>
          </w:p>
        </w:tc>
      </w:tr>
      <w:tr w14:paraId="0333942B">
        <w:tc>
          <w:tcPr>
            <w:tcW w:w="1880" w:type="dxa"/>
          </w:tcPr>
          <w:p w14:paraId="7DD106FA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/>
                <w:bCs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/>
                <w:bCs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Query-Aware</w:t>
            </w:r>
          </w:p>
        </w:tc>
        <w:tc>
          <w:tcPr>
            <w:tcW w:w="1218" w:type="dxa"/>
          </w:tcPr>
          <w:p w14:paraId="247A34B5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/>
                <w:bCs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/>
                <w:bCs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699.55</w:t>
            </w:r>
          </w:p>
        </w:tc>
        <w:tc>
          <w:tcPr>
            <w:tcW w:w="1368" w:type="dxa"/>
          </w:tcPr>
          <w:p w14:paraId="4DB59F00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/>
                <w:bCs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/>
                <w:bCs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69.46%</w:t>
            </w:r>
          </w:p>
        </w:tc>
        <w:tc>
          <w:tcPr>
            <w:tcW w:w="1534" w:type="dxa"/>
          </w:tcPr>
          <w:p w14:paraId="4038ECEF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/>
                <w:bCs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/>
                <w:bCs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7339.42</w:t>
            </w:r>
          </w:p>
        </w:tc>
        <w:tc>
          <w:tcPr>
            <w:tcW w:w="1339" w:type="dxa"/>
          </w:tcPr>
          <w:p w14:paraId="6680BDEC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/>
                <w:bCs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/>
                <w:bCs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66.12%</w:t>
            </w:r>
          </w:p>
        </w:tc>
        <w:tc>
          <w:tcPr>
            <w:tcW w:w="1172" w:type="dxa"/>
          </w:tcPr>
          <w:p w14:paraId="459A35E3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/>
                <w:bCs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/>
                <w:bCs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1.70</w:t>
            </w:r>
          </w:p>
        </w:tc>
      </w:tr>
      <w:tr w14:paraId="27870DFA">
        <w:trPr>
          <w:trHeight w:val="90" w:hRule="atLeast"/>
        </w:trPr>
        <w:tc>
          <w:tcPr>
            <w:tcW w:w="1880" w:type="dxa"/>
          </w:tcPr>
          <w:p w14:paraId="71DA20C9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Query-Aware + Top-2</w:t>
            </w:r>
          </w:p>
        </w:tc>
        <w:tc>
          <w:tcPr>
            <w:tcW w:w="1218" w:type="dxa"/>
          </w:tcPr>
          <w:p w14:paraId="200E3F35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395.40</w:t>
            </w:r>
          </w:p>
        </w:tc>
        <w:tc>
          <w:tcPr>
            <w:tcW w:w="1368" w:type="dxa"/>
          </w:tcPr>
          <w:p w14:paraId="5D339645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82.74%</w:t>
            </w:r>
          </w:p>
        </w:tc>
        <w:tc>
          <w:tcPr>
            <w:tcW w:w="1534" w:type="dxa"/>
          </w:tcPr>
          <w:p w14:paraId="30C05151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6249.49</w:t>
            </w:r>
          </w:p>
        </w:tc>
        <w:tc>
          <w:tcPr>
            <w:tcW w:w="1339" w:type="dxa"/>
          </w:tcPr>
          <w:p w14:paraId="0E2399EC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71.15%</w:t>
            </w:r>
          </w:p>
        </w:tc>
        <w:tc>
          <w:tcPr>
            <w:tcW w:w="1172" w:type="dxa"/>
          </w:tcPr>
          <w:p w14:paraId="7BBD993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1.55</w:t>
            </w:r>
          </w:p>
        </w:tc>
      </w:tr>
    </w:tbl>
    <w:p w14:paraId="69F5D994"/>
    <w:p w14:paraId="0C97FE13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各类型题目得分如下：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3A95471">
        <w:tc>
          <w:tcPr>
            <w:tcW w:w="2160" w:type="dxa"/>
            <w:shd w:val="clear" w:color="auto" w:fill="DCE6F2" w:themeFill="accent1" w:themeFillTint="32"/>
          </w:tcPr>
          <w:p w14:paraId="0680DDA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Method</w:t>
            </w:r>
          </w:p>
        </w:tc>
        <w:tc>
          <w:tcPr>
            <w:tcW w:w="2160" w:type="dxa"/>
            <w:shd w:val="clear" w:color="auto" w:fill="DCE6F2" w:themeFill="accent1" w:themeFillTint="32"/>
          </w:tcPr>
          <w:p w14:paraId="51ECA14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Book</w:t>
            </w:r>
          </w:p>
        </w:tc>
        <w:tc>
          <w:tcPr>
            <w:tcW w:w="2160" w:type="dxa"/>
            <w:shd w:val="clear" w:color="auto" w:fill="DCE6F2" w:themeFill="accent1" w:themeFillTint="32"/>
          </w:tcPr>
          <w:p w14:paraId="59C705C7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General</w:t>
            </w:r>
          </w:p>
        </w:tc>
        <w:tc>
          <w:tcPr>
            <w:tcW w:w="2160" w:type="dxa"/>
            <w:shd w:val="clear" w:color="auto" w:fill="DCE6F2" w:themeFill="accent1" w:themeFillTint="32"/>
          </w:tcPr>
          <w:p w14:paraId="27BD0E5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Rewrite</w:t>
            </w:r>
          </w:p>
        </w:tc>
      </w:tr>
      <w:tr w14:paraId="3DBF0C1B">
        <w:tc>
          <w:tcPr>
            <w:tcW w:w="2160" w:type="dxa"/>
          </w:tcPr>
          <w:p w14:paraId="689E9918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Baseline</w:t>
            </w:r>
          </w:p>
        </w:tc>
        <w:tc>
          <w:tcPr>
            <w:tcW w:w="2160" w:type="dxa"/>
          </w:tcPr>
          <w:p w14:paraId="79C0838B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1.90</w:t>
            </w:r>
          </w:p>
        </w:tc>
        <w:tc>
          <w:tcPr>
            <w:tcW w:w="2160" w:type="dxa"/>
          </w:tcPr>
          <w:p w14:paraId="4A9F4BBE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1.60</w:t>
            </w:r>
          </w:p>
        </w:tc>
        <w:tc>
          <w:tcPr>
            <w:tcW w:w="2160" w:type="dxa"/>
          </w:tcPr>
          <w:p w14:paraId="776B8E6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2.00</w:t>
            </w:r>
          </w:p>
        </w:tc>
      </w:tr>
      <w:tr w14:paraId="512FBBF0">
        <w:tc>
          <w:tcPr>
            <w:tcW w:w="2160" w:type="dxa"/>
          </w:tcPr>
          <w:p w14:paraId="1E1C68C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Standard</w:t>
            </w:r>
          </w:p>
        </w:tc>
        <w:tc>
          <w:tcPr>
            <w:tcW w:w="2160" w:type="dxa"/>
          </w:tcPr>
          <w:p w14:paraId="443C4328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1.40</w:t>
            </w:r>
          </w:p>
        </w:tc>
        <w:tc>
          <w:tcPr>
            <w:tcW w:w="2160" w:type="dxa"/>
          </w:tcPr>
          <w:p w14:paraId="645F8390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1.40</w:t>
            </w:r>
          </w:p>
        </w:tc>
        <w:tc>
          <w:tcPr>
            <w:tcW w:w="2160" w:type="dxa"/>
          </w:tcPr>
          <w:p w14:paraId="15BB614B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2.00</w:t>
            </w:r>
          </w:p>
        </w:tc>
      </w:tr>
      <w:tr w14:paraId="05A997F5">
        <w:tc>
          <w:tcPr>
            <w:tcW w:w="2160" w:type="dxa"/>
          </w:tcPr>
          <w:p w14:paraId="5E1136F7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Minimal</w:t>
            </w:r>
          </w:p>
        </w:tc>
        <w:tc>
          <w:tcPr>
            <w:tcW w:w="2160" w:type="dxa"/>
          </w:tcPr>
          <w:p w14:paraId="0A92757F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1.00</w:t>
            </w:r>
          </w:p>
        </w:tc>
        <w:tc>
          <w:tcPr>
            <w:tcW w:w="2160" w:type="dxa"/>
          </w:tcPr>
          <w:p w14:paraId="0E0C099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2.00</w:t>
            </w:r>
          </w:p>
        </w:tc>
        <w:tc>
          <w:tcPr>
            <w:tcW w:w="2160" w:type="dxa"/>
          </w:tcPr>
          <w:p w14:paraId="51B29840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2.00</w:t>
            </w:r>
          </w:p>
        </w:tc>
      </w:tr>
      <w:tr w14:paraId="507B5206">
        <w:tc>
          <w:tcPr>
            <w:tcW w:w="2160" w:type="dxa"/>
          </w:tcPr>
          <w:p w14:paraId="34A1BE0C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No RAG</w:t>
            </w:r>
          </w:p>
        </w:tc>
        <w:tc>
          <w:tcPr>
            <w:tcW w:w="2160" w:type="dxa"/>
          </w:tcPr>
          <w:p w14:paraId="3CD28EC8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0.20</w:t>
            </w:r>
          </w:p>
        </w:tc>
        <w:tc>
          <w:tcPr>
            <w:tcW w:w="2160" w:type="dxa"/>
          </w:tcPr>
          <w:p w14:paraId="150DC719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1.80</w:t>
            </w:r>
          </w:p>
        </w:tc>
        <w:tc>
          <w:tcPr>
            <w:tcW w:w="2160" w:type="dxa"/>
          </w:tcPr>
          <w:p w14:paraId="5B88C877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2.40</w:t>
            </w:r>
          </w:p>
        </w:tc>
      </w:tr>
      <w:tr w14:paraId="57130A98">
        <w:tc>
          <w:tcPr>
            <w:tcW w:w="2160" w:type="dxa"/>
          </w:tcPr>
          <w:p w14:paraId="043AC248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Query-Aware</w:t>
            </w:r>
          </w:p>
        </w:tc>
        <w:tc>
          <w:tcPr>
            <w:tcW w:w="2160" w:type="dxa"/>
          </w:tcPr>
          <w:p w14:paraId="63D0AB61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1.30</w:t>
            </w:r>
          </w:p>
        </w:tc>
        <w:tc>
          <w:tcPr>
            <w:tcW w:w="2160" w:type="dxa"/>
          </w:tcPr>
          <w:p w14:paraId="316C4E55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1.80</w:t>
            </w:r>
          </w:p>
        </w:tc>
        <w:tc>
          <w:tcPr>
            <w:tcW w:w="2160" w:type="dxa"/>
          </w:tcPr>
          <w:p w14:paraId="26786DD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2.40</w:t>
            </w:r>
          </w:p>
        </w:tc>
      </w:tr>
      <w:tr w14:paraId="5371680C">
        <w:tc>
          <w:tcPr>
            <w:tcW w:w="2160" w:type="dxa"/>
          </w:tcPr>
          <w:p w14:paraId="104B9F0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Query-Aware + Top-2</w:t>
            </w:r>
          </w:p>
        </w:tc>
        <w:tc>
          <w:tcPr>
            <w:tcW w:w="2160" w:type="dxa"/>
          </w:tcPr>
          <w:p w14:paraId="52AD7A80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1.00</w:t>
            </w:r>
          </w:p>
        </w:tc>
        <w:tc>
          <w:tcPr>
            <w:tcW w:w="2160" w:type="dxa"/>
          </w:tcPr>
          <w:p w14:paraId="71BA4D0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1.80</w:t>
            </w:r>
          </w:p>
        </w:tc>
        <w:tc>
          <w:tcPr>
            <w:tcW w:w="2160" w:type="dxa"/>
          </w:tcPr>
          <w:p w14:paraId="27494A69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2.40</w:t>
            </w:r>
          </w:p>
        </w:tc>
      </w:tr>
    </w:tbl>
    <w:p w14:paraId="44EE72A5"/>
    <w:p w14:paraId="3613E6F7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因此，在本实验条件下，动态 Context 策略可行，但效果因题型而异。</w:t>
      </w:r>
    </w:p>
    <w:p w14:paraId="28F2B6BB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1、Baseline (Top-8) 综合质量最高（均分 1.85），Book 题均分 1.9，说明《活着》Book 类问题依赖检索；但 General 题因盲目注入小说上下文而降至 1.6。</w:t>
      </w:r>
    </w:p>
    <w:p w14:paraId="69B1DA55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2、Query-Aware（均分 1.70）在 General / Rewrite 上不检索，Rewrite 均分 2.4；Input Token 降 69.46%，延迟降 66.12%，在质量与效率之间取得较好平衡。</w:t>
      </w:r>
    </w:p>
    <w:p w14:paraId="0CFA3A33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3、Query-Aware + Top-2 Token 降幅最大（82.74%），延迟降 71.15%，但 Book 检索仅 Top-2，Book 均分 1.0，低于 Baseline。</w:t>
      </w:r>
    </w:p>
    <w:p w14:paraId="1C9E0B19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4、No RAG 最快（Avg Total Time 4364.18 ms），但 Book 均分仅 0.2；General / Rewrite 表现较好，符合自包含问答与改写任务特点。</w:t>
      </w:r>
    </w:p>
    <w:p w14:paraId="31816C77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5、检索 chunk 并非越多越好：Standard / Minimal 在 Token 与延迟上优于 Baseline，但 Book 质量并未随 Top-k 增大而单调提升；盲目</w:t>
      </w:r>
      <w:bookmarkStart w:id="0" w:name="_GoBack"/>
      <w:bookmarkEnd w:id="0"/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检索还会干扰 General 题。</w:t>
      </w:r>
    </w:p>
    <w:p w14:paraId="4B06DC1E">
      <w:pPr>
        <w:pStyle w:val="2"/>
      </w:pPr>
      <w:r>
        <w:t>8. 代码</w:t>
      </w:r>
    </w:p>
    <w:p w14:paraId="2639D7AA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GitHub 地址：https://github.com/pansai-77/dynamic-context-experiment.git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Noto Sans SC Thi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25C2D"/>
    <w:multiLevelType w:val="singleLevel"/>
    <w:tmpl w:val="AFF25C2D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FCCE8983"/>
    <w:multiLevelType w:val="singleLevel"/>
    <w:tmpl w:val="FCCE8983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1F2DED"/>
    <w:rsid w:val="7DF66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2013-12-24T11:15:00Z</dcterms:created>
  <dc:creator>python-docx</dc:creator>
  <dc:description>generated by python-docx</dc:description>
  <cp:lastModifiedBy>Never say die</cp:lastModifiedBy>
  <dcterms:modified xsi:type="dcterms:W3CDTF">2026-08-02T12:52:15Z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FC1E8C71FEC6C8768D946E6A333F2CA1_42</vt:lpwstr>
  </property>
</Properties>
</file>